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45" w:rsidRPr="00FF1D97" w:rsidRDefault="006E3545" w:rsidP="006E3545">
      <w:pPr>
        <w:spacing w:line="600" w:lineRule="exact"/>
        <w:ind w:rightChars="-44" w:right="-92"/>
        <w:rPr>
          <w:rFonts w:ascii="黑体" w:eastAsia="黑体" w:hAnsi="黑体" w:cs="黑体"/>
          <w:sz w:val="24"/>
        </w:rPr>
      </w:pPr>
      <w:r w:rsidRPr="00FF1D97">
        <w:rPr>
          <w:rFonts w:ascii="黑体" w:eastAsia="黑体" w:hAnsi="黑体" w:cs="黑体" w:hint="eastAsia"/>
          <w:sz w:val="24"/>
        </w:rPr>
        <w:t>附件1</w:t>
      </w:r>
    </w:p>
    <w:p w:rsidR="006E3545" w:rsidRPr="00FF1D97" w:rsidRDefault="006E3545" w:rsidP="006E3545">
      <w:pPr>
        <w:spacing w:line="6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  <w:r w:rsidRPr="00FF1D97">
        <w:rPr>
          <w:rFonts w:ascii="黑体" w:eastAsia="黑体" w:hAnsi="黑体" w:cs="方正小标宋简体" w:hint="eastAsia"/>
          <w:sz w:val="28"/>
          <w:szCs w:val="28"/>
        </w:rPr>
        <w:t>培训班第一期暨开班仪式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8"/>
        <w:gridCol w:w="3056"/>
        <w:gridCol w:w="4074"/>
        <w:gridCol w:w="912"/>
      </w:tblGrid>
      <w:tr w:rsidR="006E3545" w:rsidRPr="00FF1D97" w:rsidTr="001267DE">
        <w:trPr>
          <w:jc w:val="center"/>
        </w:trPr>
        <w:tc>
          <w:tcPr>
            <w:tcW w:w="1538" w:type="dxa"/>
            <w:noWrap/>
          </w:tcPr>
          <w:p w:rsidR="006E3545" w:rsidRPr="00FF1D97" w:rsidRDefault="006E3545" w:rsidP="001267DE">
            <w:pPr>
              <w:spacing w:line="400" w:lineRule="exact"/>
              <w:ind w:rightChars="-44" w:right="-92"/>
              <w:jc w:val="center"/>
              <w:rPr>
                <w:rFonts w:asciiTheme="majorEastAsia" w:eastAsiaTheme="majorEastAsia" w:hAnsiTheme="majorEastAsia" w:cs="黑体"/>
                <w:b/>
                <w:sz w:val="24"/>
              </w:rPr>
            </w:pPr>
            <w:r w:rsidRPr="00FF1D97">
              <w:rPr>
                <w:rFonts w:asciiTheme="majorEastAsia" w:eastAsiaTheme="majorEastAsia" w:hAnsiTheme="majorEastAsia" w:cs="黑体" w:hint="eastAsia"/>
                <w:b/>
                <w:sz w:val="24"/>
              </w:rPr>
              <w:t>时间</w:t>
            </w:r>
          </w:p>
        </w:tc>
        <w:tc>
          <w:tcPr>
            <w:tcW w:w="3056" w:type="dxa"/>
            <w:noWrap/>
          </w:tcPr>
          <w:p w:rsidR="006E3545" w:rsidRPr="00FF1D97" w:rsidRDefault="006E3545" w:rsidP="001267DE">
            <w:pPr>
              <w:spacing w:line="400" w:lineRule="exact"/>
              <w:ind w:rightChars="-44" w:right="-92"/>
              <w:jc w:val="center"/>
              <w:rPr>
                <w:rFonts w:asciiTheme="majorEastAsia" w:eastAsiaTheme="majorEastAsia" w:hAnsiTheme="majorEastAsia" w:cs="黑体"/>
                <w:b/>
                <w:sz w:val="24"/>
              </w:rPr>
            </w:pPr>
            <w:r w:rsidRPr="00FF1D97">
              <w:rPr>
                <w:rFonts w:asciiTheme="majorEastAsia" w:eastAsiaTheme="majorEastAsia" w:hAnsiTheme="majorEastAsia" w:cs="黑体" w:hint="eastAsia"/>
                <w:b/>
                <w:sz w:val="24"/>
              </w:rPr>
              <w:t>主题</w:t>
            </w:r>
          </w:p>
        </w:tc>
        <w:tc>
          <w:tcPr>
            <w:tcW w:w="4074" w:type="dxa"/>
            <w:noWrap/>
          </w:tcPr>
          <w:p w:rsidR="006E3545" w:rsidRPr="00FF1D97" w:rsidRDefault="006E3545" w:rsidP="001267DE">
            <w:pPr>
              <w:spacing w:line="400" w:lineRule="exact"/>
              <w:ind w:rightChars="-44" w:right="-92"/>
              <w:jc w:val="center"/>
              <w:rPr>
                <w:rFonts w:asciiTheme="majorEastAsia" w:eastAsiaTheme="majorEastAsia" w:hAnsiTheme="majorEastAsia" w:cs="黑体"/>
                <w:b/>
                <w:sz w:val="24"/>
              </w:rPr>
            </w:pPr>
            <w:r w:rsidRPr="00FF1D97">
              <w:rPr>
                <w:rFonts w:asciiTheme="majorEastAsia" w:eastAsiaTheme="majorEastAsia" w:hAnsiTheme="majorEastAsia" w:cs="黑体" w:hint="eastAsia"/>
                <w:b/>
                <w:sz w:val="24"/>
              </w:rPr>
              <w:t>嘉宾</w:t>
            </w:r>
          </w:p>
        </w:tc>
        <w:tc>
          <w:tcPr>
            <w:tcW w:w="912" w:type="dxa"/>
            <w:noWrap/>
          </w:tcPr>
          <w:p w:rsidR="006E3545" w:rsidRPr="00FF1D97" w:rsidRDefault="006E3545" w:rsidP="001267DE">
            <w:pPr>
              <w:spacing w:line="400" w:lineRule="exact"/>
              <w:ind w:rightChars="-44" w:right="-92"/>
              <w:jc w:val="center"/>
              <w:rPr>
                <w:rFonts w:asciiTheme="majorEastAsia" w:eastAsiaTheme="majorEastAsia" w:hAnsiTheme="majorEastAsia" w:cs="黑体"/>
                <w:b/>
                <w:sz w:val="24"/>
              </w:rPr>
            </w:pPr>
            <w:r w:rsidRPr="00FF1D97">
              <w:rPr>
                <w:rFonts w:asciiTheme="majorEastAsia" w:eastAsiaTheme="majorEastAsia" w:hAnsiTheme="majorEastAsia" w:cs="黑体" w:hint="eastAsia"/>
                <w:b/>
                <w:sz w:val="24"/>
              </w:rPr>
              <w:t>主持</w:t>
            </w:r>
          </w:p>
        </w:tc>
      </w:tr>
      <w:tr w:rsidR="006E3545" w:rsidRPr="00FF1D97" w:rsidTr="001267DE">
        <w:trPr>
          <w:trHeight w:val="739"/>
          <w:jc w:val="center"/>
        </w:trPr>
        <w:tc>
          <w:tcPr>
            <w:tcW w:w="1538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18:00-18:10</w:t>
            </w:r>
          </w:p>
        </w:tc>
        <w:tc>
          <w:tcPr>
            <w:tcW w:w="3056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会议致辞</w:t>
            </w:r>
          </w:p>
        </w:tc>
        <w:tc>
          <w:tcPr>
            <w:tcW w:w="4074" w:type="dxa"/>
            <w:noWrap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教育部在线教育研究中心主任</w:t>
            </w:r>
            <w:r w:rsidRPr="00FF1D97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、</w:t>
            </w: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 xml:space="preserve">清华大学校务委员会副主任袁驷 </w:t>
            </w:r>
          </w:p>
        </w:tc>
        <w:tc>
          <w:tcPr>
            <w:tcW w:w="912" w:type="dxa"/>
            <w:vMerge w:val="restart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清华大学学堂在线副总裁王晓英</w:t>
            </w:r>
          </w:p>
        </w:tc>
      </w:tr>
      <w:tr w:rsidR="006E3545" w:rsidRPr="00FF1D97" w:rsidTr="001267DE">
        <w:trPr>
          <w:trHeight w:val="666"/>
          <w:jc w:val="center"/>
        </w:trPr>
        <w:tc>
          <w:tcPr>
            <w:tcW w:w="1538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18:10-18:20</w:t>
            </w:r>
          </w:p>
        </w:tc>
        <w:tc>
          <w:tcPr>
            <w:tcW w:w="3056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会议致辞</w:t>
            </w:r>
          </w:p>
        </w:tc>
        <w:tc>
          <w:tcPr>
            <w:tcW w:w="4074" w:type="dxa"/>
            <w:noWrap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教育厅副厅长李楠</w:t>
            </w:r>
          </w:p>
        </w:tc>
        <w:tc>
          <w:tcPr>
            <w:tcW w:w="912" w:type="dxa"/>
            <w:vMerge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6E3545" w:rsidRPr="00FF1D97" w:rsidTr="001267DE">
        <w:trPr>
          <w:trHeight w:val="539"/>
          <w:jc w:val="center"/>
        </w:trPr>
        <w:tc>
          <w:tcPr>
            <w:tcW w:w="1538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18:20-18:30</w:t>
            </w:r>
          </w:p>
        </w:tc>
        <w:tc>
          <w:tcPr>
            <w:tcW w:w="3056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会议致辞</w:t>
            </w:r>
          </w:p>
        </w:tc>
        <w:tc>
          <w:tcPr>
            <w:tcW w:w="4074" w:type="dxa"/>
            <w:noWrap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新疆大学校长姚强</w:t>
            </w:r>
          </w:p>
        </w:tc>
        <w:tc>
          <w:tcPr>
            <w:tcW w:w="912" w:type="dxa"/>
            <w:vMerge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6E3545" w:rsidRPr="00FF1D97" w:rsidTr="001267DE">
        <w:trPr>
          <w:trHeight w:val="919"/>
          <w:jc w:val="center"/>
        </w:trPr>
        <w:tc>
          <w:tcPr>
            <w:tcW w:w="1538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18:30-19:00</w:t>
            </w:r>
          </w:p>
        </w:tc>
        <w:tc>
          <w:tcPr>
            <w:tcW w:w="3056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关于加强普通高等学校在线开放课程教学管理的若干意见政策解读</w:t>
            </w:r>
          </w:p>
        </w:tc>
        <w:tc>
          <w:tcPr>
            <w:tcW w:w="4074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教育部在线教育研究中心秘书长</w:t>
            </w:r>
            <w:r w:rsidRPr="00FF1D97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、</w:t>
            </w: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清华大学在线教育办公室主任汪潇潇</w:t>
            </w:r>
          </w:p>
        </w:tc>
        <w:tc>
          <w:tcPr>
            <w:tcW w:w="912" w:type="dxa"/>
            <w:vMerge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6E3545" w:rsidRPr="00FF1D97" w:rsidTr="001267DE">
        <w:trPr>
          <w:trHeight w:val="814"/>
          <w:jc w:val="center"/>
        </w:trPr>
        <w:tc>
          <w:tcPr>
            <w:tcW w:w="1538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19:00-19:30</w:t>
            </w:r>
          </w:p>
        </w:tc>
        <w:tc>
          <w:tcPr>
            <w:tcW w:w="3056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新常态的混合式教学设计</w:t>
            </w:r>
          </w:p>
        </w:tc>
        <w:tc>
          <w:tcPr>
            <w:tcW w:w="4074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清华大学融合式教学专家副组长杨芳</w:t>
            </w:r>
          </w:p>
        </w:tc>
        <w:tc>
          <w:tcPr>
            <w:tcW w:w="912" w:type="dxa"/>
            <w:vMerge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6E3545" w:rsidRPr="00FF1D97" w:rsidTr="001267DE">
        <w:trPr>
          <w:trHeight w:val="777"/>
          <w:jc w:val="center"/>
        </w:trPr>
        <w:tc>
          <w:tcPr>
            <w:tcW w:w="1538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19:30-20：00</w:t>
            </w:r>
          </w:p>
        </w:tc>
        <w:tc>
          <w:tcPr>
            <w:tcW w:w="3056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浅谈高校智慧教育三部曲</w:t>
            </w:r>
          </w:p>
        </w:tc>
        <w:tc>
          <w:tcPr>
            <w:tcW w:w="4074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清华大学学堂在线平台负责人</w:t>
            </w:r>
            <w:r w:rsidRPr="00FF1D97">
              <w:rPr>
                <w:rFonts w:asciiTheme="majorEastAsia" w:eastAsiaTheme="majorEastAsia" w:hAnsiTheme="majorEastAsia" w:cs="Times New Roman" w:hint="eastAsia"/>
                <w:kern w:val="0"/>
                <w:sz w:val="24"/>
              </w:rPr>
              <w:t>、</w:t>
            </w: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首批国家一流本科课程负责王帅国</w:t>
            </w:r>
          </w:p>
        </w:tc>
        <w:tc>
          <w:tcPr>
            <w:tcW w:w="912" w:type="dxa"/>
            <w:vMerge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6E3545" w:rsidRPr="00FF1D97" w:rsidTr="001267DE">
        <w:trPr>
          <w:trHeight w:val="761"/>
          <w:jc w:val="center"/>
        </w:trPr>
        <w:tc>
          <w:tcPr>
            <w:tcW w:w="1538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20:00-20:10</w:t>
            </w:r>
          </w:p>
        </w:tc>
        <w:tc>
          <w:tcPr>
            <w:tcW w:w="3056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主持人总结</w:t>
            </w:r>
          </w:p>
        </w:tc>
        <w:tc>
          <w:tcPr>
            <w:tcW w:w="4074" w:type="dxa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清华大学学堂在线副总裁王晓英</w:t>
            </w:r>
          </w:p>
        </w:tc>
        <w:tc>
          <w:tcPr>
            <w:tcW w:w="912" w:type="dxa"/>
            <w:vMerge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</w:p>
        </w:tc>
      </w:tr>
      <w:tr w:rsidR="006E3545" w:rsidRPr="00FF1D97" w:rsidTr="001267DE">
        <w:trPr>
          <w:jc w:val="center"/>
        </w:trPr>
        <w:tc>
          <w:tcPr>
            <w:tcW w:w="9580" w:type="dxa"/>
            <w:gridSpan w:val="4"/>
            <w:noWrap/>
            <w:vAlign w:val="center"/>
          </w:tcPr>
          <w:p w:rsidR="006E3545" w:rsidRPr="00FF1D97" w:rsidRDefault="006E3545" w:rsidP="001267DE">
            <w:pPr>
              <w:widowControl/>
              <w:spacing w:line="500" w:lineRule="exact"/>
              <w:jc w:val="center"/>
              <w:textAlignment w:val="center"/>
              <w:rPr>
                <w:rFonts w:asciiTheme="majorEastAsia" w:eastAsiaTheme="majorEastAsia" w:hAnsiTheme="majorEastAsia" w:cs="Times New Roman"/>
                <w:kern w:val="0"/>
                <w:sz w:val="24"/>
              </w:rPr>
            </w:pPr>
            <w:r w:rsidRPr="00FF1D97">
              <w:rPr>
                <w:rFonts w:asciiTheme="majorEastAsia" w:eastAsiaTheme="majorEastAsia" w:hAnsiTheme="majorEastAsia" w:cs="Times New Roman"/>
                <w:kern w:val="0"/>
                <w:sz w:val="24"/>
              </w:rPr>
              <w:t>2021年3月30日（星期三），雨课堂线上直播</w:t>
            </w:r>
          </w:p>
        </w:tc>
      </w:tr>
    </w:tbl>
    <w:p w:rsidR="006E3545" w:rsidRPr="00FF1D97" w:rsidRDefault="006E3545" w:rsidP="006E3545">
      <w:pPr>
        <w:rPr>
          <w:rFonts w:asciiTheme="majorEastAsia" w:eastAsiaTheme="majorEastAsia" w:hAnsiTheme="majorEastAsia"/>
          <w:sz w:val="24"/>
        </w:rPr>
      </w:pPr>
    </w:p>
    <w:p w:rsidR="009550D7" w:rsidRPr="00FF1D97" w:rsidRDefault="009550D7">
      <w:pPr>
        <w:rPr>
          <w:rFonts w:asciiTheme="majorEastAsia" w:eastAsiaTheme="majorEastAsia" w:hAnsiTheme="majorEastAsia"/>
          <w:sz w:val="24"/>
        </w:rPr>
      </w:pPr>
    </w:p>
    <w:sectPr w:rsidR="009550D7" w:rsidRPr="00FF1D97" w:rsidSect="001852C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0AE" w:rsidRDefault="00DC70AE" w:rsidP="006E3545">
      <w:r>
        <w:separator/>
      </w:r>
    </w:p>
  </w:endnote>
  <w:endnote w:type="continuationSeparator" w:id="1">
    <w:p w:rsidR="00DC70AE" w:rsidRDefault="00DC70AE" w:rsidP="006E3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C4" w:rsidRDefault="009550D7">
    <w:pPr>
      <w:pStyle w:val="a4"/>
      <w:ind w:firstLineChars="100" w:firstLine="280"/>
      <w:rPr>
        <w:rFonts w:ascii="宋体" w:hAnsi="宋体" w:cs="宋体"/>
        <w:sz w:val="28"/>
      </w:rPr>
    </w:pPr>
    <w:r>
      <w:rPr>
        <w:rFonts w:ascii="宋体" w:hAnsi="宋体" w:cs="宋体" w:hint="eastAsia"/>
        <w:sz w:val="28"/>
      </w:rPr>
      <w:t xml:space="preserve">— </w:t>
    </w:r>
    <w:r w:rsidR="006110C2">
      <w:rPr>
        <w:rFonts w:ascii="宋体" w:hAnsi="宋体" w:cs="宋体" w:hint="eastAsia"/>
        <w:sz w:val="28"/>
      </w:rPr>
      <w:fldChar w:fldCharType="begin"/>
    </w:r>
    <w:r>
      <w:rPr>
        <w:rFonts w:ascii="宋体" w:hAnsi="宋体" w:cs="宋体" w:hint="eastAsia"/>
        <w:sz w:val="28"/>
      </w:rPr>
      <w:instrText xml:space="preserve"> PAGE \* Arabic \* MERGEFORMAT </w:instrText>
    </w:r>
    <w:r w:rsidR="006110C2">
      <w:rPr>
        <w:rFonts w:ascii="宋体" w:hAnsi="宋体" w:cs="宋体" w:hint="eastAsia"/>
        <w:sz w:val="28"/>
      </w:rPr>
      <w:fldChar w:fldCharType="separate"/>
    </w:r>
    <w:r>
      <w:rPr>
        <w:rFonts w:ascii="宋体" w:hAnsi="宋体" w:cs="宋体"/>
        <w:noProof/>
        <w:sz w:val="28"/>
      </w:rPr>
      <w:t>2</w:t>
    </w:r>
    <w:r w:rsidR="006110C2">
      <w:rPr>
        <w:rFonts w:ascii="宋体" w:hAnsi="宋体" w:cs="宋体" w:hint="eastAsia"/>
        <w:sz w:val="28"/>
      </w:rPr>
      <w:fldChar w:fldCharType="end"/>
    </w:r>
    <w:r>
      <w:rPr>
        <w:rFonts w:ascii="宋体" w:hAnsi="宋体" w:cs="宋体" w:hint="eastAsia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2C4" w:rsidRDefault="009550D7">
    <w:pPr>
      <w:pStyle w:val="a4"/>
      <w:ind w:rightChars="100" w:right="210"/>
      <w:jc w:val="right"/>
      <w:rPr>
        <w:rFonts w:ascii="宋体" w:hAnsi="宋体" w:cs="宋体"/>
        <w:sz w:val="28"/>
      </w:rPr>
    </w:pPr>
    <w:r>
      <w:rPr>
        <w:rFonts w:ascii="宋体" w:hAnsi="宋体" w:cs="宋体" w:hint="eastAsia"/>
        <w:sz w:val="28"/>
      </w:rPr>
      <w:t xml:space="preserve">— </w:t>
    </w:r>
    <w:r w:rsidR="006110C2">
      <w:rPr>
        <w:rFonts w:ascii="宋体" w:hAnsi="宋体" w:cs="宋体" w:hint="eastAsia"/>
        <w:sz w:val="28"/>
      </w:rPr>
      <w:fldChar w:fldCharType="begin"/>
    </w:r>
    <w:r>
      <w:rPr>
        <w:rFonts w:ascii="宋体" w:hAnsi="宋体" w:cs="宋体" w:hint="eastAsia"/>
        <w:sz w:val="28"/>
      </w:rPr>
      <w:instrText xml:space="preserve"> PAGE \* Arabic \* MERGEFORMAT </w:instrText>
    </w:r>
    <w:r w:rsidR="006110C2">
      <w:rPr>
        <w:rFonts w:ascii="宋体" w:hAnsi="宋体" w:cs="宋体" w:hint="eastAsia"/>
        <w:sz w:val="28"/>
      </w:rPr>
      <w:fldChar w:fldCharType="separate"/>
    </w:r>
    <w:r w:rsidR="00FF1D97">
      <w:rPr>
        <w:rFonts w:ascii="宋体" w:hAnsi="宋体" w:cs="宋体"/>
        <w:noProof/>
        <w:sz w:val="28"/>
      </w:rPr>
      <w:t>1</w:t>
    </w:r>
    <w:r w:rsidR="006110C2">
      <w:rPr>
        <w:rFonts w:ascii="宋体" w:hAnsi="宋体" w:cs="宋体" w:hint="eastAsia"/>
        <w:sz w:val="28"/>
      </w:rPr>
      <w:fldChar w:fldCharType="end"/>
    </w:r>
    <w:r>
      <w:rPr>
        <w:rFonts w:ascii="宋体" w:hAnsi="宋体" w:cs="宋体" w:hint="eastAsia"/>
        <w:sz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0AE" w:rsidRDefault="00DC70AE" w:rsidP="006E3545">
      <w:r>
        <w:separator/>
      </w:r>
    </w:p>
  </w:footnote>
  <w:footnote w:type="continuationSeparator" w:id="1">
    <w:p w:rsidR="00DC70AE" w:rsidRDefault="00DC70AE" w:rsidP="006E3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545"/>
    <w:rsid w:val="006110C2"/>
    <w:rsid w:val="006E3545"/>
    <w:rsid w:val="009550D7"/>
    <w:rsid w:val="00DC70AE"/>
    <w:rsid w:val="00FF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4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3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354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E35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3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2022-03-29T04:56:00Z</dcterms:created>
  <dcterms:modified xsi:type="dcterms:W3CDTF">2022-03-29T05:00:00Z</dcterms:modified>
</cp:coreProperties>
</file>