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2024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届本科毕业论文（设计）校内抽检工作方案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一、抽查时间和对象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1.抽查时间：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2.抽检对象：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届所有本科毕业生毕业论文（设计）。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二、抽查对象确定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学校采取随机抽样的方式确定抽查学生名单，一般按不低于当年各本科专业毕业生人数5%的比例随机进行抽检。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三、抽查内容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>
      <w:pPr>
        <w:pStyle w:val="4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抽查方式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被抽检的论文（设计）采用“双盲”评阅，送审时须隐去论文作者和导师姓名。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五、工作程序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8—21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日，学院聘请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校外高级以上职称同行专家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，采取随机匹配方式组织同行专家对抽检论文（设计）进行评议，提出评议意见。每篇论文送3位同行专家，3位专家中有2位以上（含2位）专家评议意见为“不合格”的毕业论文（设计），将认定为“存在问题毕业论文（设计）”。3位专家中有1位专家评议意见为“不合格”，再送2位同行专家进行复评。2位复评专家中有1位以上（含1位）专家评议意见为“不合格”，将认定为“存在问题毕业论文（设计）”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日，学院将抽查结果报教务处。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五、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结果认定与处理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.被认定为“存在问题毕业论文（设计）”的，取消评优资格。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日16:00前将《石河子大学本科毕业论文（设计）校内抽检统计表》及《石河子大学本科毕业设计（论文）校内抽检鉴定表》交至教务处实践科。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石河子大学本科毕业设计（论文）校内抽检统计表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 xml:space="preserve">学院：（盖章）                 填报人签字：               主管领导签字：       </w:t>
      </w:r>
    </w:p>
    <w:tbl>
      <w:tblPr>
        <w:tblStyle w:val="5"/>
        <w:tblW w:w="1281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"/>
        <w:gridCol w:w="871"/>
        <w:gridCol w:w="1194"/>
        <w:gridCol w:w="1004"/>
        <w:gridCol w:w="589"/>
        <w:gridCol w:w="2188"/>
        <w:gridCol w:w="828"/>
        <w:gridCol w:w="828"/>
        <w:gridCol w:w="974"/>
        <w:gridCol w:w="1007"/>
        <w:gridCol w:w="910"/>
        <w:gridCol w:w="15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审定专家1意见                 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审定专家2意见                  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审定专家3意见                 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修改后，经学院审核取消本学期答辩资格，成绩按“零”分记，重做毕业论文（设计）；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1.此表统计学校校内抽查的学生。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2.专家意见：①优秀②合格③存在问题需要修改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.学院处理意见：①修改后，经学院审核同意参加答辩；</w:t>
      </w:r>
    </w:p>
    <w:p>
      <w:pPr>
        <w:widowControl/>
        <w:ind w:firstLine="1920" w:firstLineChars="8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②修改后，经学院审核取消本学期答辩资格，成绩按“零”分记，重做毕业论文（设计）；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pgSz w:w="16838" w:h="11906" w:orient="landscape"/>
          <w:pgMar w:top="1531" w:right="1985" w:bottom="1531" w:left="2098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2024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届本科毕业论文（设计）重复率检测工作方案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一、检测对象与检测方式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1.检测对象：全校所有拟申请毕业答辩的毕业论文（设计）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二、检测时间安排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1.预检（202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日）：预检为学生自由私密检验，预检结果不作为评判学生论文（设计）的依据。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—19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日）：统测为全校统一重复率检验。统测不合格论文（设计），由学校和学院统一组织复查（复检）。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280" w:firstLineChars="1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3.复查（202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）：复查仅针对统测不合格的论文（设计），该类论文（设计）须在指导教师的指导下进行修改后再次提交检测。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4.其他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日）：此环节为毕业论文（设计）最终成果提交。毕业答辩后，所有学生针对答辩专家意见及建议等对毕业论文（设计）进行修改，形成毕业论文（设计）最终版，并在管理系统上提交。此次提交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依然需要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将成果正文及附件文档分开上传。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三、统测结果认定与处理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1.检测合格标准：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去除本人已发表文献复制比（重复率）及校内互检结果≤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0%为合格。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合格（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0%＜重复率≤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40%＜重复率≤70%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的学生，由学院组织专家进行审查认定，确认抄袭者由学院研究依教育部文件及《石河子大学本科毕业论文（设计）检测实施办法》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（石大教发〔20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进行严肃处理。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及校内互检结果，重复率&gt;70%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，取消当年答辩资格，毕业论文（设计）成绩按“零”分计，须重做毕业论文（设计）。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.推荐参评校级优秀毕业论文（设计）必须在学校统测中通过，并且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统测及校内互检结果的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重复率在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%以内（含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391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.学生或指导教师对检测结果提出异议的，由学院毕业论文（设计）工作领导小组组织专家对相关毕业论文（设计）进行鉴定，根据鉴定结果提出处理意见。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四、注意事项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日16:00前将《石河子大学本科毕业论文（设计）检测鉴定统计表》及《石河子大学本科毕业设计（论文）检测鉴定表》交至教务处实践科。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特别注意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各学院教科办基本任务：1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督促本学院学生按时提交检测，指导教师及时审核；2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统计本学院检测（统测）结果数值并公示；3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组织统测不合格论文（设计）复查并组织专家审定，上报结果；4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对学院学生文档进行大力抽查，预防和处理学术不端行为；5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及时解答老师和同学们的问题。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学生上传失败的解决方式，依次为：1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使用已经上传成功的同学的电脑进行尝试；2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检查文档，删除超链接或者批注等格式，再次尝试；3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另存文档，如将docx文档另存为doc文档；4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新建word（最好是正版Ofice软件），将原论文（设计）粘贴过来，选择无格式文本，重新排版再上传。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所有工作流程以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《石河子大学本科毕业论文（设计）检测实施办法》（石大教发〔20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为准。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bCs/>
          <w:sz w:val="28"/>
          <w:szCs w:val="28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0%的学生。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05"/>
        <w:gridCol w:w="891"/>
        <w:gridCol w:w="294"/>
        <w:gridCol w:w="1444"/>
        <w:gridCol w:w="1276"/>
        <w:gridCol w:w="475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800" w:type="dxa"/>
            <w:gridSpan w:val="8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</w:t>
      </w:r>
      <w:r>
        <w:rPr>
          <w:rFonts w:hint="eastAsia" w:ascii="宋体" w:hAnsi="宋体"/>
          <w:sz w:val="24"/>
          <w:lang w:eastAsia="zh-CN"/>
        </w:rPr>
        <w:t>，仅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  <w:lang w:eastAsia="zh-CN"/>
        </w:rPr>
        <w:t>统测重复率20%—</w:t>
      </w:r>
      <w:r>
        <w:rPr>
          <w:rFonts w:hint="eastAsia" w:ascii="宋体" w:hAnsi="宋体"/>
          <w:sz w:val="24"/>
          <w:lang w:val="en-US" w:eastAsia="zh-CN"/>
        </w:rPr>
        <w:t>70%</w:t>
      </w:r>
      <w:r>
        <w:rPr>
          <w:rFonts w:hint="eastAsia" w:ascii="宋体" w:hAnsi="宋体"/>
          <w:sz w:val="24"/>
          <w:lang w:eastAsia="zh-CN"/>
        </w:rPr>
        <w:t>的学生</w:t>
      </w:r>
      <w:r>
        <w:rPr>
          <w:rFonts w:ascii="宋体" w:hAnsi="宋体"/>
          <w:sz w:val="24"/>
        </w:rPr>
        <w:t>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widowControl/>
        <w:ind w:firstLine="3520" w:firstLineChars="1100"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7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8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4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专业班级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-85090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9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59264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TB11wAAAAsBAAAPAAAAAAAAAAEAIAAAACIAAABkcnMvZG93bnJldi54bWxQSwECFAAU&#10;AAAACACHTuJAS7Qx8PIBAADoAwAADgAAAAAAAAABACAAAAAm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>
      <w:pPr>
        <w:snapToGrid w:val="0"/>
        <w:spacing w:line="620" w:lineRule="exact"/>
        <w:rPr>
          <w:rFonts w:ascii="Times New Roman" w:hAnsi="Times New Roman"/>
          <w:sz w:val="28"/>
        </w:rPr>
      </w:pPr>
    </w:p>
    <w:p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DBFC34-F382-4085-8124-8DFF8478D7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C905196-A340-4240-8234-C748B6202285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49F94B-2A2A-436D-8DB1-544D26941B5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6C807C3-B9D1-4BBB-9FF9-DE04A1E53D9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006D789-0007-488B-95E6-A0B00A67DF1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248DE79D-F3A6-40C4-81D3-97EF6300969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10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 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>1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657A6C3E"/>
    <w:rsid w:val="001230D6"/>
    <w:rsid w:val="00135D10"/>
    <w:rsid w:val="003B4270"/>
    <w:rsid w:val="00B97D8A"/>
    <w:rsid w:val="00DC0008"/>
    <w:rsid w:val="00E9150B"/>
    <w:rsid w:val="0A0A330A"/>
    <w:rsid w:val="29CB21C4"/>
    <w:rsid w:val="2CA95423"/>
    <w:rsid w:val="344A4048"/>
    <w:rsid w:val="35543FBC"/>
    <w:rsid w:val="3D715B92"/>
    <w:rsid w:val="403318BE"/>
    <w:rsid w:val="51F47CF7"/>
    <w:rsid w:val="5B6A1BC8"/>
    <w:rsid w:val="657A6C3E"/>
    <w:rsid w:val="6E960FAC"/>
    <w:rsid w:val="6F7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865</Words>
  <Characters>4936</Characters>
  <Lines>41</Lines>
  <Paragraphs>11</Paragraphs>
  <TotalTime>13</TotalTime>
  <ScaleCrop>false</ScaleCrop>
  <LinksUpToDate>false</LinksUpToDate>
  <CharactersWithSpaces>5790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janus</cp:lastModifiedBy>
  <dcterms:modified xsi:type="dcterms:W3CDTF">2024-05-07T08:02:06Z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7A3DC9A5D7CD46D1B3C639B9055486C5_12</vt:lpwstr>
  </property>
</Properties>
</file>