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20" w:lineRule="exact"/>
        <w:jc w:val="left"/>
        <w:rPr>
          <w:rFonts w:ascii="微软雅黑" w:hAnsi="微软雅黑" w:eastAsia="微软雅黑" w:cs="宋体"/>
          <w:kern w:val="0"/>
          <w:szCs w:val="21"/>
        </w:rPr>
      </w:pPr>
      <w:r>
        <w:rPr>
          <w:rFonts w:ascii="微软雅黑" w:hAnsi="微软雅黑" w:eastAsia="微软雅黑" w:cs="宋体"/>
          <w:kern w:val="0"/>
          <w:szCs w:val="21"/>
        </w:rPr>
        <w:t>附件5</w:t>
      </w:r>
      <w:r>
        <w:rPr>
          <w:rFonts w:hint="eastAsia" w:ascii="微软雅黑" w:hAnsi="微软雅黑" w:eastAsia="微软雅黑" w:cs="宋体"/>
          <w:kern w:val="0"/>
          <w:szCs w:val="21"/>
        </w:rPr>
        <w:t>：</w:t>
      </w:r>
    </w:p>
    <w:p>
      <w:pPr>
        <w:widowControl/>
        <w:snapToGrid w:val="0"/>
        <w:spacing w:beforeLines="50" w:afterLines="50" w:line="420" w:lineRule="exact"/>
        <w:jc w:val="center"/>
        <w:rPr>
          <w:rFonts w:ascii="黑体" w:hAnsi="黑体" w:eastAsia="黑体" w:cs="宋体"/>
          <w:kern w:val="0"/>
          <w:sz w:val="24"/>
          <w:szCs w:val="24"/>
        </w:rPr>
      </w:pPr>
      <w:bookmarkStart w:id="0" w:name="_GoBack"/>
      <w:r>
        <w:rPr>
          <w:rFonts w:hint="eastAsia" w:ascii="黑体" w:hAnsi="黑体" w:eastAsia="黑体" w:cs="宋体"/>
          <w:kern w:val="0"/>
          <w:sz w:val="24"/>
          <w:szCs w:val="24"/>
        </w:rPr>
        <w:t>各学院推荐申报重点建设通识教育选修课程名额分配表</w:t>
      </w:r>
    </w:p>
    <w:bookmarkEnd w:id="0"/>
    <w:tbl>
      <w:tblPr>
        <w:tblStyle w:val="4"/>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1134"/>
        <w:gridCol w:w="2551"/>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黑体" w:hAnsi="黑体" w:eastAsia="黑体" w:cs="宋体"/>
                <w:kern w:val="0"/>
                <w:szCs w:val="21"/>
              </w:rPr>
            </w:pPr>
            <w:r>
              <w:rPr>
                <w:rFonts w:ascii="黑体" w:hAnsi="黑体" w:eastAsia="黑体" w:cs="宋体"/>
                <w:kern w:val="0"/>
                <w:szCs w:val="21"/>
              </w:rPr>
              <w:t>学院</w:t>
            </w:r>
          </w:p>
        </w:tc>
        <w:tc>
          <w:tcPr>
            <w:tcW w:w="1134" w:type="dxa"/>
          </w:tcPr>
          <w:p>
            <w:pPr>
              <w:widowControl/>
              <w:snapToGrid w:val="0"/>
              <w:spacing w:line="420" w:lineRule="exact"/>
              <w:jc w:val="center"/>
              <w:rPr>
                <w:rFonts w:ascii="黑体" w:hAnsi="黑体" w:eastAsia="黑体" w:cs="宋体"/>
                <w:kern w:val="0"/>
                <w:szCs w:val="21"/>
              </w:rPr>
            </w:pPr>
            <w:r>
              <w:rPr>
                <w:rFonts w:ascii="黑体" w:hAnsi="黑体" w:eastAsia="黑体" w:cs="宋体"/>
                <w:kern w:val="0"/>
                <w:szCs w:val="21"/>
              </w:rPr>
              <w:t>推荐门数</w:t>
            </w:r>
          </w:p>
        </w:tc>
        <w:tc>
          <w:tcPr>
            <w:tcW w:w="2551" w:type="dxa"/>
          </w:tcPr>
          <w:p>
            <w:pPr>
              <w:widowControl/>
              <w:snapToGrid w:val="0"/>
              <w:spacing w:line="420" w:lineRule="exact"/>
              <w:jc w:val="center"/>
              <w:rPr>
                <w:rFonts w:ascii="黑体" w:hAnsi="黑体" w:eastAsia="黑体" w:cs="宋体"/>
                <w:kern w:val="0"/>
                <w:szCs w:val="21"/>
              </w:rPr>
            </w:pPr>
            <w:r>
              <w:rPr>
                <w:rFonts w:ascii="黑体" w:hAnsi="黑体" w:eastAsia="黑体" w:cs="宋体"/>
                <w:kern w:val="0"/>
                <w:szCs w:val="21"/>
              </w:rPr>
              <w:t>建议类别</w:t>
            </w:r>
          </w:p>
        </w:tc>
        <w:tc>
          <w:tcPr>
            <w:tcW w:w="2694" w:type="dxa"/>
          </w:tcPr>
          <w:p>
            <w:pPr>
              <w:widowControl/>
              <w:snapToGrid w:val="0"/>
              <w:spacing w:line="420" w:lineRule="exact"/>
              <w:jc w:val="center"/>
              <w:rPr>
                <w:rFonts w:ascii="黑体" w:hAnsi="黑体" w:eastAsia="黑体" w:cs="宋体"/>
                <w:kern w:val="0"/>
                <w:szCs w:val="21"/>
              </w:rPr>
            </w:pPr>
            <w:r>
              <w:rPr>
                <w:rFonts w:ascii="黑体" w:hAnsi="黑体" w:eastAsia="黑体" w:cs="宋体"/>
                <w:kern w:val="0"/>
                <w:szCs w:val="21"/>
              </w:rPr>
              <w:t>建议申报课程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化学化工学院</w:t>
            </w:r>
          </w:p>
        </w:tc>
        <w:tc>
          <w:tcPr>
            <w:tcW w:w="1134"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1</w:t>
            </w:r>
          </w:p>
        </w:tc>
        <w:tc>
          <w:tcPr>
            <w:tcW w:w="2551" w:type="dxa"/>
          </w:tcPr>
          <w:p>
            <w:pPr>
              <w:widowControl/>
              <w:snapToGrid w:val="0"/>
              <w:spacing w:line="420" w:lineRule="exact"/>
              <w:jc w:val="center"/>
              <w:rPr>
                <w:rFonts w:ascii="仿宋" w:hAnsi="仿宋" w:eastAsia="仿宋" w:cs="宋体"/>
                <w:kern w:val="0"/>
                <w:szCs w:val="21"/>
              </w:rPr>
            </w:pPr>
          </w:p>
        </w:tc>
        <w:tc>
          <w:tcPr>
            <w:tcW w:w="2694" w:type="dxa"/>
          </w:tcPr>
          <w:p>
            <w:pPr>
              <w:widowControl/>
              <w:snapToGrid w:val="0"/>
              <w:spacing w:line="420" w:lineRule="exact"/>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机械电气工程学院</w:t>
            </w:r>
          </w:p>
        </w:tc>
        <w:tc>
          <w:tcPr>
            <w:tcW w:w="1134"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1</w:t>
            </w:r>
          </w:p>
        </w:tc>
        <w:tc>
          <w:tcPr>
            <w:tcW w:w="2551" w:type="dxa"/>
          </w:tcPr>
          <w:p>
            <w:pPr>
              <w:widowControl/>
              <w:snapToGrid w:val="0"/>
              <w:spacing w:line="420" w:lineRule="exact"/>
              <w:jc w:val="center"/>
              <w:rPr>
                <w:rFonts w:ascii="仿宋" w:hAnsi="仿宋" w:eastAsia="仿宋" w:cs="宋体"/>
                <w:kern w:val="0"/>
                <w:szCs w:val="21"/>
              </w:rPr>
            </w:pPr>
          </w:p>
        </w:tc>
        <w:tc>
          <w:tcPr>
            <w:tcW w:w="2694" w:type="dxa"/>
          </w:tcPr>
          <w:p>
            <w:pPr>
              <w:widowControl/>
              <w:snapToGrid w:val="0"/>
              <w:spacing w:line="420" w:lineRule="exact"/>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水利建筑工程学院</w:t>
            </w:r>
          </w:p>
        </w:tc>
        <w:tc>
          <w:tcPr>
            <w:tcW w:w="1134"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1</w:t>
            </w:r>
          </w:p>
        </w:tc>
        <w:tc>
          <w:tcPr>
            <w:tcW w:w="2551" w:type="dxa"/>
          </w:tcPr>
          <w:p>
            <w:pPr>
              <w:widowControl/>
              <w:snapToGrid w:val="0"/>
              <w:spacing w:line="420" w:lineRule="exact"/>
              <w:jc w:val="center"/>
              <w:rPr>
                <w:rFonts w:ascii="仿宋" w:hAnsi="仿宋" w:eastAsia="仿宋" w:cs="宋体"/>
                <w:kern w:val="0"/>
                <w:szCs w:val="21"/>
              </w:rPr>
            </w:pPr>
          </w:p>
        </w:tc>
        <w:tc>
          <w:tcPr>
            <w:tcW w:w="2694" w:type="dxa"/>
          </w:tcPr>
          <w:p>
            <w:pPr>
              <w:widowControl/>
              <w:snapToGrid w:val="0"/>
              <w:spacing w:line="420" w:lineRule="exact"/>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食品学院</w:t>
            </w:r>
          </w:p>
        </w:tc>
        <w:tc>
          <w:tcPr>
            <w:tcW w:w="1134"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1</w:t>
            </w:r>
          </w:p>
        </w:tc>
        <w:tc>
          <w:tcPr>
            <w:tcW w:w="2551" w:type="dxa"/>
          </w:tcPr>
          <w:p>
            <w:pPr>
              <w:widowControl/>
              <w:snapToGrid w:val="0"/>
              <w:spacing w:line="420" w:lineRule="exact"/>
              <w:jc w:val="center"/>
              <w:rPr>
                <w:rFonts w:ascii="仿宋" w:hAnsi="仿宋" w:eastAsia="仿宋" w:cs="宋体"/>
                <w:kern w:val="0"/>
                <w:szCs w:val="21"/>
              </w:rPr>
            </w:pPr>
          </w:p>
        </w:tc>
        <w:tc>
          <w:tcPr>
            <w:tcW w:w="2694" w:type="dxa"/>
          </w:tcPr>
          <w:p>
            <w:pPr>
              <w:widowControl/>
              <w:snapToGrid w:val="0"/>
              <w:spacing w:line="420" w:lineRule="exact"/>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信息科学与技术学院</w:t>
            </w:r>
          </w:p>
        </w:tc>
        <w:tc>
          <w:tcPr>
            <w:tcW w:w="1134" w:type="dxa"/>
          </w:tcPr>
          <w:p>
            <w:pPr>
              <w:widowControl/>
              <w:snapToGrid w:val="0"/>
              <w:spacing w:line="420" w:lineRule="exact"/>
              <w:jc w:val="center"/>
              <w:rPr>
                <w:rFonts w:ascii="仿宋" w:hAnsi="仿宋" w:eastAsia="仿宋" w:cs="宋体"/>
                <w:kern w:val="0"/>
                <w:szCs w:val="21"/>
              </w:rPr>
            </w:pPr>
            <w:r>
              <w:rPr>
                <w:rFonts w:hint="eastAsia" w:ascii="仿宋" w:hAnsi="仿宋" w:eastAsia="仿宋" w:cs="宋体"/>
                <w:kern w:val="0"/>
                <w:szCs w:val="21"/>
              </w:rPr>
              <w:t>1</w:t>
            </w:r>
          </w:p>
        </w:tc>
        <w:tc>
          <w:tcPr>
            <w:tcW w:w="2551" w:type="dxa"/>
          </w:tcPr>
          <w:p>
            <w:pPr>
              <w:widowControl/>
              <w:snapToGrid w:val="0"/>
              <w:spacing w:line="420" w:lineRule="exact"/>
              <w:jc w:val="center"/>
              <w:rPr>
                <w:rFonts w:ascii="仿宋" w:hAnsi="仿宋" w:eastAsia="仿宋" w:cs="宋体"/>
                <w:kern w:val="0"/>
                <w:szCs w:val="21"/>
              </w:rPr>
            </w:pPr>
          </w:p>
        </w:tc>
        <w:tc>
          <w:tcPr>
            <w:tcW w:w="2694" w:type="dxa"/>
          </w:tcPr>
          <w:p>
            <w:pPr>
              <w:widowControl/>
              <w:snapToGrid w:val="0"/>
              <w:spacing w:line="420" w:lineRule="exact"/>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农学院</w:t>
            </w:r>
          </w:p>
        </w:tc>
        <w:tc>
          <w:tcPr>
            <w:tcW w:w="1134"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1</w:t>
            </w:r>
          </w:p>
        </w:tc>
        <w:tc>
          <w:tcPr>
            <w:tcW w:w="2551" w:type="dxa"/>
          </w:tcPr>
          <w:p>
            <w:pPr>
              <w:widowControl/>
              <w:snapToGrid w:val="0"/>
              <w:spacing w:line="420" w:lineRule="exact"/>
              <w:jc w:val="center"/>
              <w:rPr>
                <w:rFonts w:ascii="仿宋" w:hAnsi="仿宋" w:eastAsia="仿宋" w:cs="宋体"/>
                <w:kern w:val="0"/>
                <w:szCs w:val="21"/>
              </w:rPr>
            </w:pPr>
          </w:p>
        </w:tc>
        <w:tc>
          <w:tcPr>
            <w:tcW w:w="2694" w:type="dxa"/>
          </w:tcPr>
          <w:p>
            <w:pPr>
              <w:widowControl/>
              <w:snapToGrid w:val="0"/>
              <w:spacing w:line="420" w:lineRule="exact"/>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动物科学学院</w:t>
            </w:r>
          </w:p>
        </w:tc>
        <w:tc>
          <w:tcPr>
            <w:tcW w:w="1134"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1</w:t>
            </w:r>
          </w:p>
        </w:tc>
        <w:tc>
          <w:tcPr>
            <w:tcW w:w="2551" w:type="dxa"/>
          </w:tcPr>
          <w:p>
            <w:pPr>
              <w:widowControl/>
              <w:snapToGrid w:val="0"/>
              <w:spacing w:line="420" w:lineRule="exact"/>
              <w:jc w:val="center"/>
              <w:rPr>
                <w:rFonts w:ascii="仿宋" w:hAnsi="仿宋" w:eastAsia="仿宋" w:cs="宋体"/>
                <w:kern w:val="0"/>
                <w:szCs w:val="21"/>
              </w:rPr>
            </w:pPr>
          </w:p>
        </w:tc>
        <w:tc>
          <w:tcPr>
            <w:tcW w:w="2694" w:type="dxa"/>
          </w:tcPr>
          <w:p>
            <w:pPr>
              <w:widowControl/>
              <w:snapToGrid w:val="0"/>
              <w:spacing w:line="420" w:lineRule="exact"/>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医学院</w:t>
            </w:r>
          </w:p>
        </w:tc>
        <w:tc>
          <w:tcPr>
            <w:tcW w:w="1134" w:type="dxa"/>
          </w:tcPr>
          <w:p>
            <w:pPr>
              <w:widowControl/>
              <w:snapToGrid w:val="0"/>
              <w:spacing w:line="420" w:lineRule="exact"/>
              <w:jc w:val="center"/>
              <w:rPr>
                <w:rFonts w:ascii="仿宋" w:hAnsi="仿宋" w:eastAsia="仿宋" w:cs="宋体"/>
                <w:kern w:val="0"/>
                <w:szCs w:val="21"/>
              </w:rPr>
            </w:pPr>
            <w:r>
              <w:rPr>
                <w:rFonts w:hint="eastAsia" w:ascii="仿宋" w:hAnsi="仿宋" w:eastAsia="仿宋" w:cs="宋体"/>
                <w:kern w:val="0"/>
                <w:szCs w:val="21"/>
              </w:rPr>
              <w:t>2</w:t>
            </w:r>
          </w:p>
        </w:tc>
        <w:tc>
          <w:tcPr>
            <w:tcW w:w="2551"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自然科学</w:t>
            </w:r>
          </w:p>
        </w:tc>
        <w:tc>
          <w:tcPr>
            <w:tcW w:w="2694" w:type="dxa"/>
          </w:tcPr>
          <w:p>
            <w:pPr>
              <w:widowControl/>
              <w:snapToGrid w:val="0"/>
              <w:spacing w:line="420" w:lineRule="exact"/>
              <w:jc w:val="left"/>
              <w:rPr>
                <w:rFonts w:ascii="仿宋" w:hAnsi="仿宋" w:eastAsia="仿宋" w:cs="宋体"/>
                <w:kern w:val="0"/>
                <w:szCs w:val="21"/>
              </w:rPr>
            </w:pPr>
            <w:r>
              <w:rPr>
                <w:rFonts w:ascii="仿宋" w:hAnsi="仿宋" w:eastAsia="仿宋" w:cs="宋体"/>
                <w:kern w:val="0"/>
                <w:szCs w:val="21"/>
              </w:rPr>
              <w:t>临床医学相关课程</w:t>
            </w:r>
            <w:r>
              <w:rPr>
                <w:rFonts w:hint="eastAsia" w:ascii="仿宋" w:hAnsi="仿宋" w:eastAsia="仿宋" w:cs="宋体"/>
                <w:kern w:val="0"/>
                <w:szCs w:val="21"/>
              </w:rPr>
              <w:t>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药学院</w:t>
            </w:r>
          </w:p>
        </w:tc>
        <w:tc>
          <w:tcPr>
            <w:tcW w:w="1134"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1</w:t>
            </w:r>
          </w:p>
        </w:tc>
        <w:tc>
          <w:tcPr>
            <w:tcW w:w="2551" w:type="dxa"/>
          </w:tcPr>
          <w:p>
            <w:pPr>
              <w:widowControl/>
              <w:snapToGrid w:val="0"/>
              <w:spacing w:line="420" w:lineRule="exact"/>
              <w:jc w:val="center"/>
              <w:rPr>
                <w:rFonts w:ascii="仿宋" w:hAnsi="仿宋" w:eastAsia="仿宋" w:cs="宋体"/>
                <w:kern w:val="0"/>
                <w:szCs w:val="21"/>
              </w:rPr>
            </w:pPr>
          </w:p>
        </w:tc>
        <w:tc>
          <w:tcPr>
            <w:tcW w:w="2694" w:type="dxa"/>
          </w:tcPr>
          <w:p>
            <w:pPr>
              <w:widowControl/>
              <w:snapToGrid w:val="0"/>
              <w:spacing w:line="420" w:lineRule="exact"/>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生命科学学院</w:t>
            </w:r>
          </w:p>
        </w:tc>
        <w:tc>
          <w:tcPr>
            <w:tcW w:w="1134"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1</w:t>
            </w:r>
          </w:p>
        </w:tc>
        <w:tc>
          <w:tcPr>
            <w:tcW w:w="2551" w:type="dxa"/>
          </w:tcPr>
          <w:p>
            <w:pPr>
              <w:widowControl/>
              <w:snapToGrid w:val="0"/>
              <w:spacing w:line="420" w:lineRule="exact"/>
              <w:jc w:val="center"/>
              <w:rPr>
                <w:rFonts w:ascii="仿宋" w:hAnsi="仿宋" w:eastAsia="仿宋" w:cs="宋体"/>
                <w:kern w:val="0"/>
                <w:szCs w:val="21"/>
              </w:rPr>
            </w:pPr>
          </w:p>
        </w:tc>
        <w:tc>
          <w:tcPr>
            <w:tcW w:w="2694" w:type="dxa"/>
          </w:tcPr>
          <w:p>
            <w:pPr>
              <w:widowControl/>
              <w:snapToGrid w:val="0"/>
              <w:spacing w:line="420" w:lineRule="exact"/>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理学院</w:t>
            </w:r>
          </w:p>
        </w:tc>
        <w:tc>
          <w:tcPr>
            <w:tcW w:w="1134"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1</w:t>
            </w:r>
          </w:p>
        </w:tc>
        <w:tc>
          <w:tcPr>
            <w:tcW w:w="2551" w:type="dxa"/>
          </w:tcPr>
          <w:p>
            <w:pPr>
              <w:widowControl/>
              <w:snapToGrid w:val="0"/>
              <w:spacing w:line="420" w:lineRule="exact"/>
              <w:jc w:val="center"/>
              <w:rPr>
                <w:rFonts w:ascii="仿宋" w:hAnsi="仿宋" w:eastAsia="仿宋" w:cs="宋体"/>
                <w:kern w:val="0"/>
                <w:szCs w:val="21"/>
              </w:rPr>
            </w:pPr>
          </w:p>
        </w:tc>
        <w:tc>
          <w:tcPr>
            <w:tcW w:w="2694" w:type="dxa"/>
          </w:tcPr>
          <w:p>
            <w:pPr>
              <w:widowControl/>
              <w:snapToGrid w:val="0"/>
              <w:spacing w:line="420" w:lineRule="exact"/>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经济与管理学院</w:t>
            </w:r>
          </w:p>
        </w:tc>
        <w:tc>
          <w:tcPr>
            <w:tcW w:w="1134" w:type="dxa"/>
          </w:tcPr>
          <w:p>
            <w:pPr>
              <w:widowControl/>
              <w:snapToGrid w:val="0"/>
              <w:spacing w:line="420" w:lineRule="exact"/>
              <w:jc w:val="center"/>
              <w:rPr>
                <w:rFonts w:ascii="仿宋" w:hAnsi="仿宋" w:eastAsia="仿宋" w:cs="宋体"/>
                <w:kern w:val="0"/>
                <w:szCs w:val="21"/>
              </w:rPr>
            </w:pPr>
            <w:r>
              <w:rPr>
                <w:rFonts w:hint="eastAsia" w:ascii="仿宋" w:hAnsi="仿宋" w:eastAsia="仿宋" w:cs="宋体"/>
                <w:kern w:val="0"/>
                <w:szCs w:val="21"/>
              </w:rPr>
              <w:t>2</w:t>
            </w:r>
          </w:p>
        </w:tc>
        <w:tc>
          <w:tcPr>
            <w:tcW w:w="2551"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创新创业、人文社科</w:t>
            </w:r>
          </w:p>
        </w:tc>
        <w:tc>
          <w:tcPr>
            <w:tcW w:w="2694" w:type="dxa"/>
          </w:tcPr>
          <w:p>
            <w:pPr>
              <w:widowControl/>
              <w:snapToGrid w:val="0"/>
              <w:spacing w:line="420" w:lineRule="exact"/>
              <w:jc w:val="left"/>
              <w:rPr>
                <w:rFonts w:ascii="仿宋" w:hAnsi="仿宋" w:eastAsia="仿宋" w:cs="宋体"/>
                <w:kern w:val="0"/>
                <w:szCs w:val="21"/>
              </w:rPr>
            </w:pPr>
            <w:r>
              <w:rPr>
                <w:rFonts w:ascii="仿宋" w:hAnsi="仿宋" w:eastAsia="仿宋" w:cs="宋体"/>
                <w:kern w:val="0"/>
                <w:szCs w:val="21"/>
              </w:rPr>
              <w:t>创新创业相关课程1门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师范学院</w:t>
            </w:r>
          </w:p>
        </w:tc>
        <w:tc>
          <w:tcPr>
            <w:tcW w:w="1134" w:type="dxa"/>
          </w:tcPr>
          <w:p>
            <w:pPr>
              <w:widowControl/>
              <w:snapToGrid w:val="0"/>
              <w:spacing w:line="420" w:lineRule="exact"/>
              <w:jc w:val="center"/>
              <w:rPr>
                <w:rFonts w:ascii="仿宋" w:hAnsi="仿宋" w:eastAsia="仿宋" w:cs="宋体"/>
                <w:kern w:val="0"/>
                <w:szCs w:val="21"/>
              </w:rPr>
            </w:pPr>
            <w:r>
              <w:rPr>
                <w:rFonts w:hint="eastAsia" w:ascii="仿宋" w:hAnsi="仿宋" w:eastAsia="仿宋" w:cs="宋体"/>
                <w:kern w:val="0"/>
                <w:szCs w:val="21"/>
              </w:rPr>
              <w:t>2</w:t>
            </w:r>
          </w:p>
        </w:tc>
        <w:tc>
          <w:tcPr>
            <w:tcW w:w="2551"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文学与审美、人文社科</w:t>
            </w:r>
          </w:p>
        </w:tc>
        <w:tc>
          <w:tcPr>
            <w:tcW w:w="2694" w:type="dxa"/>
          </w:tcPr>
          <w:p>
            <w:pPr>
              <w:widowControl/>
              <w:snapToGrid w:val="0"/>
              <w:spacing w:line="420" w:lineRule="exact"/>
              <w:jc w:val="left"/>
              <w:rPr>
                <w:rFonts w:ascii="仿宋" w:hAnsi="仿宋" w:eastAsia="仿宋" w:cs="宋体"/>
                <w:kern w:val="0"/>
                <w:szCs w:val="21"/>
              </w:rPr>
            </w:pPr>
            <w:r>
              <w:rPr>
                <w:rFonts w:ascii="仿宋" w:hAnsi="仿宋" w:eastAsia="仿宋" w:cs="宋体"/>
                <w:kern w:val="0"/>
                <w:szCs w:val="21"/>
              </w:rPr>
              <w:t>语言文学相关课程</w:t>
            </w:r>
            <w:r>
              <w:rPr>
                <w:rFonts w:hint="eastAsia" w:ascii="仿宋" w:hAnsi="仿宋" w:eastAsia="仿宋" w:cs="宋体"/>
                <w:kern w:val="0"/>
                <w:szCs w:val="21"/>
              </w:rPr>
              <w:t>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文学艺术学院</w:t>
            </w:r>
          </w:p>
        </w:tc>
        <w:tc>
          <w:tcPr>
            <w:tcW w:w="1134" w:type="dxa"/>
          </w:tcPr>
          <w:p>
            <w:pPr>
              <w:widowControl/>
              <w:snapToGrid w:val="0"/>
              <w:spacing w:line="420" w:lineRule="exact"/>
              <w:jc w:val="center"/>
              <w:rPr>
                <w:rFonts w:ascii="仿宋" w:hAnsi="仿宋" w:eastAsia="仿宋" w:cs="宋体"/>
                <w:kern w:val="0"/>
                <w:szCs w:val="21"/>
              </w:rPr>
            </w:pPr>
            <w:r>
              <w:rPr>
                <w:rFonts w:hint="eastAsia" w:ascii="仿宋" w:hAnsi="仿宋" w:eastAsia="仿宋" w:cs="宋体"/>
                <w:kern w:val="0"/>
                <w:szCs w:val="21"/>
              </w:rPr>
              <w:t>3</w:t>
            </w:r>
          </w:p>
        </w:tc>
        <w:tc>
          <w:tcPr>
            <w:tcW w:w="2551"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文学与审美、人文社科</w:t>
            </w:r>
          </w:p>
        </w:tc>
        <w:tc>
          <w:tcPr>
            <w:tcW w:w="2694" w:type="dxa"/>
          </w:tcPr>
          <w:p>
            <w:pPr>
              <w:widowControl/>
              <w:snapToGrid w:val="0"/>
              <w:spacing w:line="420" w:lineRule="exact"/>
              <w:jc w:val="left"/>
              <w:rPr>
                <w:rFonts w:ascii="仿宋" w:hAnsi="仿宋" w:eastAsia="仿宋" w:cs="宋体"/>
                <w:kern w:val="0"/>
                <w:szCs w:val="21"/>
              </w:rPr>
            </w:pPr>
            <w:r>
              <w:rPr>
                <w:rFonts w:ascii="仿宋" w:hAnsi="仿宋" w:eastAsia="仿宋" w:cs="宋体"/>
                <w:kern w:val="0"/>
                <w:szCs w:val="21"/>
              </w:rPr>
              <w:t>写作、</w:t>
            </w:r>
            <w:r>
              <w:rPr>
                <w:rFonts w:hint="eastAsia" w:ascii="仿宋" w:hAnsi="仿宋" w:eastAsia="仿宋" w:cs="宋体"/>
                <w:kern w:val="0"/>
                <w:szCs w:val="21"/>
              </w:rPr>
              <w:t>审美相关课程各1门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马克思主义学院</w:t>
            </w:r>
          </w:p>
        </w:tc>
        <w:tc>
          <w:tcPr>
            <w:tcW w:w="1134" w:type="dxa"/>
          </w:tcPr>
          <w:p>
            <w:pPr>
              <w:widowControl/>
              <w:snapToGrid w:val="0"/>
              <w:spacing w:line="420" w:lineRule="exact"/>
              <w:jc w:val="center"/>
              <w:rPr>
                <w:rFonts w:ascii="仿宋" w:hAnsi="仿宋" w:eastAsia="仿宋" w:cs="宋体"/>
                <w:kern w:val="0"/>
                <w:szCs w:val="21"/>
              </w:rPr>
            </w:pPr>
            <w:r>
              <w:rPr>
                <w:rFonts w:hint="eastAsia" w:ascii="仿宋" w:hAnsi="仿宋" w:eastAsia="仿宋" w:cs="宋体"/>
                <w:kern w:val="0"/>
                <w:szCs w:val="21"/>
              </w:rPr>
              <w:t>2</w:t>
            </w:r>
          </w:p>
        </w:tc>
        <w:tc>
          <w:tcPr>
            <w:tcW w:w="2551"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人文社科</w:t>
            </w:r>
          </w:p>
        </w:tc>
        <w:tc>
          <w:tcPr>
            <w:tcW w:w="2694" w:type="dxa"/>
          </w:tcPr>
          <w:p>
            <w:pPr>
              <w:widowControl/>
              <w:snapToGrid w:val="0"/>
              <w:spacing w:line="420" w:lineRule="exact"/>
              <w:jc w:val="left"/>
              <w:rPr>
                <w:rFonts w:ascii="仿宋" w:hAnsi="仿宋" w:eastAsia="仿宋" w:cs="宋体"/>
                <w:kern w:val="0"/>
                <w:szCs w:val="21"/>
              </w:rPr>
            </w:pPr>
            <w:r>
              <w:rPr>
                <w:rFonts w:ascii="仿宋" w:hAnsi="仿宋" w:eastAsia="仿宋" w:cs="宋体"/>
                <w:kern w:val="0"/>
                <w:szCs w:val="21"/>
              </w:rPr>
              <w:t>哲学或兵团相关课程</w:t>
            </w:r>
            <w:r>
              <w:rPr>
                <w:rFonts w:hint="eastAsia" w:ascii="仿宋" w:hAnsi="仿宋" w:eastAsia="仿宋" w:cs="宋体"/>
                <w:kern w:val="0"/>
                <w:szCs w:val="21"/>
              </w:rPr>
              <w:t>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政法学院</w:t>
            </w:r>
          </w:p>
        </w:tc>
        <w:tc>
          <w:tcPr>
            <w:tcW w:w="1134" w:type="dxa"/>
          </w:tcPr>
          <w:p>
            <w:pPr>
              <w:widowControl/>
              <w:snapToGrid w:val="0"/>
              <w:spacing w:line="420" w:lineRule="exact"/>
              <w:jc w:val="center"/>
              <w:rPr>
                <w:rFonts w:ascii="仿宋" w:hAnsi="仿宋" w:eastAsia="仿宋" w:cs="宋体"/>
                <w:kern w:val="0"/>
                <w:szCs w:val="21"/>
              </w:rPr>
            </w:pPr>
            <w:r>
              <w:rPr>
                <w:rFonts w:hint="eastAsia" w:ascii="仿宋" w:hAnsi="仿宋" w:eastAsia="仿宋" w:cs="宋体"/>
                <w:kern w:val="0"/>
                <w:szCs w:val="21"/>
              </w:rPr>
              <w:t>2</w:t>
            </w:r>
          </w:p>
        </w:tc>
        <w:tc>
          <w:tcPr>
            <w:tcW w:w="2551"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人文社科</w:t>
            </w:r>
          </w:p>
        </w:tc>
        <w:tc>
          <w:tcPr>
            <w:tcW w:w="2694" w:type="dxa"/>
          </w:tcPr>
          <w:p>
            <w:pPr>
              <w:widowControl/>
              <w:snapToGrid w:val="0"/>
              <w:spacing w:line="420" w:lineRule="exact"/>
              <w:jc w:val="left"/>
              <w:rPr>
                <w:rFonts w:ascii="仿宋" w:hAnsi="仿宋" w:eastAsia="仿宋" w:cs="宋体"/>
                <w:kern w:val="0"/>
                <w:szCs w:val="21"/>
              </w:rPr>
            </w:pPr>
            <w:r>
              <w:rPr>
                <w:rFonts w:ascii="仿宋" w:hAnsi="仿宋" w:eastAsia="仿宋" w:cs="宋体"/>
                <w:kern w:val="0"/>
                <w:szCs w:val="21"/>
              </w:rPr>
              <w:t>中国文化相关课程</w:t>
            </w:r>
            <w:r>
              <w:rPr>
                <w:rFonts w:hint="eastAsia" w:ascii="仿宋" w:hAnsi="仿宋" w:eastAsia="仿宋" w:cs="宋体"/>
                <w:kern w:val="0"/>
                <w:szCs w:val="21"/>
              </w:rPr>
              <w:t>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外国语学院</w:t>
            </w:r>
          </w:p>
        </w:tc>
        <w:tc>
          <w:tcPr>
            <w:tcW w:w="1134" w:type="dxa"/>
          </w:tcPr>
          <w:p>
            <w:pPr>
              <w:widowControl/>
              <w:snapToGrid w:val="0"/>
              <w:spacing w:line="420" w:lineRule="exact"/>
              <w:jc w:val="center"/>
              <w:rPr>
                <w:rFonts w:ascii="仿宋" w:hAnsi="仿宋" w:eastAsia="仿宋" w:cs="宋体"/>
                <w:kern w:val="0"/>
                <w:szCs w:val="21"/>
              </w:rPr>
            </w:pPr>
            <w:r>
              <w:rPr>
                <w:rFonts w:hint="eastAsia" w:ascii="仿宋" w:hAnsi="仿宋" w:eastAsia="仿宋" w:cs="宋体"/>
                <w:kern w:val="0"/>
                <w:szCs w:val="21"/>
              </w:rPr>
              <w:t>2</w:t>
            </w:r>
          </w:p>
        </w:tc>
        <w:tc>
          <w:tcPr>
            <w:tcW w:w="2551"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文学与审美</w:t>
            </w:r>
          </w:p>
        </w:tc>
        <w:tc>
          <w:tcPr>
            <w:tcW w:w="2694" w:type="dxa"/>
          </w:tcPr>
          <w:p>
            <w:pPr>
              <w:widowControl/>
              <w:snapToGrid w:val="0"/>
              <w:spacing w:line="420" w:lineRule="exact"/>
              <w:jc w:val="left"/>
              <w:rPr>
                <w:rFonts w:ascii="仿宋" w:hAnsi="仿宋" w:eastAsia="仿宋" w:cs="宋体"/>
                <w:kern w:val="0"/>
                <w:szCs w:val="21"/>
              </w:rPr>
            </w:pPr>
            <w:r>
              <w:rPr>
                <w:rFonts w:ascii="仿宋" w:hAnsi="仿宋" w:eastAsia="仿宋" w:cs="宋体"/>
                <w:kern w:val="0"/>
                <w:szCs w:val="21"/>
              </w:rPr>
              <w:t>语言文学相关课程</w:t>
            </w:r>
            <w:r>
              <w:rPr>
                <w:rFonts w:hint="eastAsia" w:ascii="仿宋" w:hAnsi="仿宋" w:eastAsia="仿宋" w:cs="宋体"/>
                <w:kern w:val="0"/>
                <w:szCs w:val="21"/>
              </w:rPr>
              <w:t>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体育学院</w:t>
            </w:r>
          </w:p>
        </w:tc>
        <w:tc>
          <w:tcPr>
            <w:tcW w:w="1134" w:type="dxa"/>
          </w:tcPr>
          <w:p>
            <w:pPr>
              <w:widowControl/>
              <w:snapToGrid w:val="0"/>
              <w:spacing w:line="420" w:lineRule="exact"/>
              <w:jc w:val="center"/>
              <w:rPr>
                <w:rFonts w:ascii="仿宋" w:hAnsi="仿宋" w:eastAsia="仿宋" w:cs="宋体"/>
                <w:kern w:val="0"/>
                <w:szCs w:val="21"/>
              </w:rPr>
            </w:pPr>
            <w:r>
              <w:rPr>
                <w:rFonts w:hint="eastAsia" w:ascii="仿宋" w:hAnsi="仿宋" w:eastAsia="仿宋" w:cs="宋体"/>
                <w:kern w:val="0"/>
                <w:szCs w:val="21"/>
              </w:rPr>
              <w:t>1</w:t>
            </w:r>
          </w:p>
        </w:tc>
        <w:tc>
          <w:tcPr>
            <w:tcW w:w="2551" w:type="dxa"/>
          </w:tcPr>
          <w:p>
            <w:pPr>
              <w:widowControl/>
              <w:snapToGrid w:val="0"/>
              <w:spacing w:line="420" w:lineRule="exact"/>
              <w:jc w:val="center"/>
              <w:rPr>
                <w:rFonts w:ascii="仿宋" w:hAnsi="仿宋" w:eastAsia="仿宋" w:cs="宋体"/>
                <w:kern w:val="0"/>
                <w:szCs w:val="21"/>
              </w:rPr>
            </w:pPr>
          </w:p>
        </w:tc>
        <w:tc>
          <w:tcPr>
            <w:tcW w:w="2694" w:type="dxa"/>
          </w:tcPr>
          <w:p>
            <w:pPr>
              <w:widowControl/>
              <w:snapToGrid w:val="0"/>
              <w:spacing w:line="420" w:lineRule="exact"/>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widowControl/>
              <w:snapToGrid w:val="0"/>
              <w:spacing w:line="420" w:lineRule="exact"/>
              <w:jc w:val="center"/>
              <w:rPr>
                <w:rFonts w:ascii="仿宋" w:hAnsi="仿宋" w:eastAsia="仿宋" w:cs="宋体"/>
                <w:kern w:val="0"/>
                <w:szCs w:val="21"/>
              </w:rPr>
            </w:pPr>
            <w:r>
              <w:rPr>
                <w:rFonts w:ascii="仿宋" w:hAnsi="仿宋" w:eastAsia="仿宋" w:cs="宋体"/>
                <w:kern w:val="0"/>
                <w:szCs w:val="21"/>
              </w:rPr>
              <w:t>合计</w:t>
            </w:r>
          </w:p>
        </w:tc>
        <w:tc>
          <w:tcPr>
            <w:tcW w:w="1134" w:type="dxa"/>
          </w:tcPr>
          <w:p>
            <w:pPr>
              <w:widowControl/>
              <w:snapToGrid w:val="0"/>
              <w:spacing w:line="420" w:lineRule="exact"/>
              <w:jc w:val="center"/>
              <w:rPr>
                <w:rFonts w:ascii="仿宋" w:hAnsi="仿宋" w:eastAsia="仿宋" w:cs="宋体"/>
                <w:kern w:val="0"/>
                <w:szCs w:val="21"/>
              </w:rPr>
            </w:pPr>
            <w:r>
              <w:rPr>
                <w:rFonts w:hint="eastAsia" w:ascii="仿宋" w:hAnsi="仿宋" w:eastAsia="仿宋" w:cs="宋体"/>
                <w:kern w:val="0"/>
                <w:szCs w:val="21"/>
              </w:rPr>
              <w:t>26</w:t>
            </w:r>
          </w:p>
        </w:tc>
        <w:tc>
          <w:tcPr>
            <w:tcW w:w="2551" w:type="dxa"/>
          </w:tcPr>
          <w:p>
            <w:pPr>
              <w:widowControl/>
              <w:snapToGrid w:val="0"/>
              <w:spacing w:line="420" w:lineRule="exact"/>
              <w:jc w:val="center"/>
              <w:rPr>
                <w:rFonts w:ascii="仿宋" w:hAnsi="仿宋" w:eastAsia="仿宋" w:cs="宋体"/>
                <w:kern w:val="0"/>
                <w:szCs w:val="21"/>
              </w:rPr>
            </w:pPr>
          </w:p>
        </w:tc>
        <w:tc>
          <w:tcPr>
            <w:tcW w:w="2694" w:type="dxa"/>
          </w:tcPr>
          <w:p>
            <w:pPr>
              <w:widowControl/>
              <w:snapToGrid w:val="0"/>
              <w:spacing w:line="420" w:lineRule="exact"/>
              <w:jc w:val="left"/>
              <w:rPr>
                <w:rFonts w:ascii="仿宋" w:hAnsi="仿宋" w:eastAsia="仿宋" w:cs="宋体"/>
                <w:kern w:val="0"/>
                <w:szCs w:val="21"/>
              </w:rPr>
            </w:pPr>
          </w:p>
        </w:tc>
      </w:tr>
    </w:tbl>
    <w:p>
      <w:pPr>
        <w:widowControl/>
        <w:snapToGrid w:val="0"/>
        <w:spacing w:line="420" w:lineRule="exact"/>
        <w:jc w:val="left"/>
        <w:rPr>
          <w:rFonts w:ascii="仿宋" w:hAnsi="仿宋" w:eastAsia="仿宋" w:cs="宋体"/>
          <w:kern w:val="0"/>
          <w:szCs w:val="21"/>
        </w:rPr>
      </w:pPr>
      <w:r>
        <w:rPr>
          <w:rFonts w:ascii="黑体" w:hAnsi="黑体" w:eastAsia="黑体" w:cs="宋体"/>
          <w:kern w:val="0"/>
          <w:szCs w:val="21"/>
        </w:rPr>
        <w:t>注：</w:t>
      </w:r>
      <w:r>
        <w:rPr>
          <w:rFonts w:ascii="仿宋" w:hAnsi="仿宋" w:eastAsia="仿宋" w:cs="宋体"/>
          <w:kern w:val="0"/>
          <w:szCs w:val="21"/>
        </w:rPr>
        <w:t>除重点建设通识教育选修课程外，各学院计划开设的各类通识教育选修课开设课程梳理一般不少于本科专业总数的两倍，推荐申报学校通识教育选修课程项目总数一般不超过本科专业总数。</w:t>
      </w:r>
    </w:p>
    <w:p>
      <w:pPr>
        <w:widowControl/>
        <w:snapToGrid w:val="0"/>
        <w:spacing w:line="420" w:lineRule="exact"/>
        <w:jc w:val="left"/>
        <w:rPr>
          <w:rFonts w:ascii="仿宋" w:hAnsi="仿宋" w:eastAsia="仿宋" w:cs="宋体"/>
          <w:kern w:val="0"/>
          <w:sz w:val="28"/>
          <w:szCs w:val="2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086570"/>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04195"/>
    <w:rsid w:val="51104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2020-05-22T09:03:00Z</dcterms:created>
  <dc:creator>穿山乙</dc:creator>
  <cp:lastModifiedBy>穿山乙</cp:lastModifiedBy>
  <dcterms:modified xsi:type="dcterms:W3CDTF">2020-05-22T09:04:36Z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