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600" w:rsidRDefault="00853600" w:rsidP="00853600">
      <w:pPr>
        <w:spacing w:line="360" w:lineRule="auto"/>
        <w:rPr>
          <w:rFonts w:ascii="仿宋" w:eastAsia="仿宋" w:hAnsi="仿宋"/>
          <w:sz w:val="28"/>
          <w:szCs w:val="28"/>
        </w:rPr>
      </w:pPr>
      <w:r>
        <w:rPr>
          <w:rFonts w:ascii="仿宋" w:eastAsia="仿宋" w:hAnsi="仿宋" w:hint="eastAsia"/>
          <w:sz w:val="28"/>
          <w:szCs w:val="28"/>
        </w:rPr>
        <w:t>附件二：视频课程质量要求</w:t>
      </w:r>
    </w:p>
    <w:p w:rsidR="00853600" w:rsidRDefault="00853600" w:rsidP="00853600">
      <w:pPr>
        <w:spacing w:line="360" w:lineRule="auto"/>
        <w:rPr>
          <w:rFonts w:ascii="仿宋" w:eastAsia="仿宋" w:hAnsi="仿宋" w:hint="eastAsia"/>
          <w:sz w:val="28"/>
          <w:szCs w:val="28"/>
        </w:rPr>
      </w:pPr>
      <w:r>
        <w:rPr>
          <w:rFonts w:ascii="仿宋" w:eastAsia="仿宋" w:hAnsi="仿宋" w:hint="eastAsia"/>
          <w:sz w:val="28"/>
          <w:szCs w:val="28"/>
        </w:rPr>
        <w:t>1.</w:t>
      </w:r>
      <w:r>
        <w:rPr>
          <w:rFonts w:ascii="仿宋" w:eastAsia="仿宋" w:hAnsi="仿宋" w:hint="eastAsia"/>
          <w:sz w:val="28"/>
          <w:szCs w:val="28"/>
        </w:rPr>
        <w:tab/>
        <w:t>课程内容</w:t>
      </w:r>
    </w:p>
    <w:p w:rsidR="00853600" w:rsidRDefault="00853600" w:rsidP="00853600">
      <w:pPr>
        <w:spacing w:line="360" w:lineRule="auto"/>
        <w:rPr>
          <w:rFonts w:ascii="仿宋" w:eastAsia="仿宋" w:hAnsi="仿宋" w:hint="eastAsia"/>
          <w:sz w:val="28"/>
          <w:szCs w:val="28"/>
        </w:rPr>
      </w:pPr>
      <w:r>
        <w:rPr>
          <w:rFonts w:ascii="仿宋" w:eastAsia="仿宋" w:hAnsi="仿宋" w:hint="eastAsia"/>
          <w:sz w:val="28"/>
          <w:szCs w:val="28"/>
        </w:rPr>
        <w:t>（1）</w:t>
      </w:r>
      <w:r>
        <w:rPr>
          <w:rFonts w:ascii="仿宋" w:eastAsia="仿宋" w:hAnsi="仿宋" w:hint="eastAsia"/>
          <w:sz w:val="28"/>
          <w:szCs w:val="28"/>
        </w:rPr>
        <w:tab/>
        <w:t>内容绿色健康：课程内容须遵守国家法律法规，确保课程内容健康，无不良信息，应避免敏感问题和不恰当比喻，以保证教学内容与信息安全。</w:t>
      </w:r>
    </w:p>
    <w:p w:rsidR="00853600" w:rsidRDefault="00853600" w:rsidP="00853600">
      <w:pPr>
        <w:spacing w:line="360" w:lineRule="auto"/>
        <w:rPr>
          <w:rFonts w:ascii="仿宋" w:eastAsia="仿宋" w:hAnsi="仿宋" w:hint="eastAsia"/>
          <w:sz w:val="28"/>
          <w:szCs w:val="28"/>
        </w:rPr>
      </w:pPr>
      <w:r>
        <w:rPr>
          <w:rFonts w:ascii="仿宋" w:eastAsia="仿宋" w:hAnsi="仿宋" w:hint="eastAsia"/>
          <w:sz w:val="28"/>
          <w:szCs w:val="28"/>
        </w:rPr>
        <w:t>（2）</w:t>
      </w:r>
      <w:r>
        <w:rPr>
          <w:rFonts w:ascii="仿宋" w:eastAsia="仿宋" w:hAnsi="仿宋" w:hint="eastAsia"/>
          <w:sz w:val="28"/>
          <w:szCs w:val="28"/>
        </w:rPr>
        <w:tab/>
        <w:t>兼顾系统化和碎片化设计：课程内容的选择和编排要符合教学规律，按照一定的程序将完整的知识传授给学生。同时设计上要符合MOOC在线教学设计理念，课程视频依照课程大纲，根据不同章节划分知识点，在课程知识点碎片化的同时还需保证教学内容的系统化，根据教学内容和目标选择合适的在线授课形式。</w:t>
      </w:r>
    </w:p>
    <w:p w:rsidR="00853600" w:rsidRDefault="00853600" w:rsidP="00853600">
      <w:pPr>
        <w:spacing w:line="360" w:lineRule="auto"/>
        <w:rPr>
          <w:rFonts w:ascii="仿宋" w:eastAsia="仿宋" w:hAnsi="仿宋" w:hint="eastAsia"/>
          <w:sz w:val="28"/>
          <w:szCs w:val="28"/>
        </w:rPr>
      </w:pPr>
      <w:r>
        <w:rPr>
          <w:rFonts w:ascii="仿宋" w:eastAsia="仿宋" w:hAnsi="仿宋" w:hint="eastAsia"/>
          <w:sz w:val="28"/>
          <w:szCs w:val="28"/>
        </w:rPr>
        <w:t>（3）</w:t>
      </w:r>
      <w:r>
        <w:rPr>
          <w:rFonts w:ascii="仿宋" w:eastAsia="仿宋" w:hAnsi="仿宋" w:hint="eastAsia"/>
          <w:sz w:val="28"/>
          <w:szCs w:val="28"/>
        </w:rPr>
        <w:tab/>
        <w:t>难易适当兼顾教学创新：课程内容符合学生发展需求，能够激发学生学习兴趣，重视激发学生学习的主动性和积极性，合理把握教学容量和难易要求，能够给学生更多的思考空间，启发学生发现、解决问题，同时可引入其领域最新学术成果和技术。</w:t>
      </w:r>
    </w:p>
    <w:p w:rsidR="00853600" w:rsidRDefault="00853600" w:rsidP="00853600">
      <w:pPr>
        <w:spacing w:line="360" w:lineRule="auto"/>
        <w:rPr>
          <w:rFonts w:ascii="仿宋" w:eastAsia="仿宋" w:hAnsi="仿宋" w:hint="eastAsia"/>
          <w:sz w:val="28"/>
          <w:szCs w:val="28"/>
        </w:rPr>
      </w:pPr>
      <w:r>
        <w:rPr>
          <w:rFonts w:ascii="仿宋" w:eastAsia="仿宋" w:hAnsi="仿宋" w:hint="eastAsia"/>
          <w:sz w:val="28"/>
          <w:szCs w:val="28"/>
        </w:rPr>
        <w:t>（4）</w:t>
      </w:r>
      <w:r>
        <w:rPr>
          <w:rFonts w:ascii="仿宋" w:eastAsia="仿宋" w:hAnsi="仿宋" w:hint="eastAsia"/>
          <w:sz w:val="28"/>
          <w:szCs w:val="28"/>
        </w:rPr>
        <w:tab/>
        <w:t>符合MOOC课程标准：课程内容除了课程视频，还需包括习题、讨论、补充材料等，有合理明确的考核标准，考核标准应以课程教学目标为依据，重视基础知识与基本技能的考查。考核内容必须有在线习题。考核标准难度需适中，能够保证一定的结课率，考核标准还需考虑让学生有动力坚持学完一门课程，要有平时随堂测试。</w:t>
      </w:r>
    </w:p>
    <w:p w:rsidR="00853600" w:rsidRDefault="00853600" w:rsidP="00853600">
      <w:pPr>
        <w:rPr>
          <w:rFonts w:ascii="仿宋" w:eastAsia="仿宋" w:hAnsi="仿宋" w:hint="eastAsia"/>
          <w:sz w:val="28"/>
          <w:szCs w:val="28"/>
        </w:rPr>
      </w:pPr>
      <w:r>
        <w:rPr>
          <w:rFonts w:ascii="仿宋" w:eastAsia="仿宋" w:hAnsi="仿宋" w:hint="eastAsia"/>
          <w:sz w:val="28"/>
          <w:szCs w:val="28"/>
        </w:rPr>
        <w:t>2.</w:t>
      </w:r>
      <w:r>
        <w:rPr>
          <w:rFonts w:ascii="仿宋" w:eastAsia="仿宋" w:hAnsi="仿宋" w:hint="eastAsia"/>
          <w:sz w:val="28"/>
          <w:szCs w:val="28"/>
        </w:rPr>
        <w:tab/>
        <w:t>课程制作</w:t>
      </w:r>
    </w:p>
    <w:p w:rsidR="00853600" w:rsidRDefault="00853600" w:rsidP="00853600">
      <w:pPr>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课程主讲人需要自主择优选定课程制作单位，建议课程主讲人需要与选定的课程制作单位签订相关协议。制作时间从课程主讲人</w:t>
      </w:r>
      <w:r>
        <w:rPr>
          <w:rFonts w:ascii="仿宋" w:eastAsia="仿宋" w:hAnsi="仿宋" w:hint="eastAsia"/>
          <w:sz w:val="28"/>
          <w:szCs w:val="28"/>
        </w:rPr>
        <w:lastRenderedPageBreak/>
        <w:t>与课程制作单位签订协议起，一般不超过6个月。</w:t>
      </w:r>
    </w:p>
    <w:p w:rsidR="00853600" w:rsidRDefault="00853600" w:rsidP="00853600">
      <w:pPr>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为保证课程的质量，课程主讲人及选定的课程制作单位需参照教育部在线教育研究中心发布的课程制作相关文件，制作高品质的在线开放课程。</w:t>
      </w:r>
    </w:p>
    <w:p w:rsidR="00853600" w:rsidRDefault="00853600" w:rsidP="00853600">
      <w:pPr>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原则上，在线课程采取MOOC课程的教学形式，课程视频依照课程大纲，根据不同章节划分知识点，每个知识点的讲授时间控制在5-15分钟为宜，一般情况下，知识点讲授完毕即安排测试。</w:t>
      </w:r>
    </w:p>
    <w:p w:rsidR="00853600" w:rsidRDefault="00853600" w:rsidP="00853600">
      <w:pPr>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在线课程可以有出境讲解、手写讲解、实景授课、动画演示、专题短片、访谈式教学、虚实结合等多种形式，课程呈现形式至少2种以上。</w:t>
      </w:r>
    </w:p>
    <w:p w:rsidR="00853600" w:rsidRDefault="00853600" w:rsidP="00853600">
      <w:pPr>
        <w:spacing w:line="360" w:lineRule="auto"/>
        <w:rPr>
          <w:rFonts w:ascii="仿宋" w:eastAsia="仿宋" w:hAnsi="仿宋" w:hint="eastAsia"/>
          <w:sz w:val="28"/>
          <w:szCs w:val="28"/>
        </w:rPr>
      </w:pPr>
      <w:r>
        <w:rPr>
          <w:rFonts w:ascii="仿宋" w:eastAsia="仿宋" w:hAnsi="仿宋" w:hint="eastAsia"/>
          <w:sz w:val="28"/>
          <w:szCs w:val="28"/>
        </w:rPr>
        <w:t>3.</w:t>
      </w:r>
      <w:r>
        <w:rPr>
          <w:rFonts w:ascii="仿宋" w:eastAsia="仿宋" w:hAnsi="仿宋" w:hint="eastAsia"/>
          <w:sz w:val="28"/>
          <w:szCs w:val="28"/>
        </w:rPr>
        <w:tab/>
        <w:t>教学团队或教学辅助人员</w:t>
      </w:r>
    </w:p>
    <w:p w:rsidR="00853600" w:rsidRDefault="00853600" w:rsidP="00853600">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在平台上线的课程，课程主讲人及教学团队或教学辅助人员需按时上传课程内容，及时答疑，保证在线课程教学的正常运行。</w:t>
      </w:r>
    </w:p>
    <w:p w:rsidR="00853600" w:rsidRDefault="00853600" w:rsidP="00853600">
      <w:pPr>
        <w:spacing w:line="360" w:lineRule="auto"/>
        <w:rPr>
          <w:rFonts w:ascii="仿宋" w:eastAsia="仿宋" w:hAnsi="仿宋" w:hint="eastAsia"/>
          <w:sz w:val="28"/>
          <w:szCs w:val="28"/>
        </w:rPr>
      </w:pPr>
      <w:r>
        <w:rPr>
          <w:rFonts w:ascii="仿宋" w:eastAsia="仿宋" w:hAnsi="仿宋" w:hint="eastAsia"/>
          <w:sz w:val="28"/>
          <w:szCs w:val="28"/>
        </w:rPr>
        <w:t>4.</w:t>
      </w:r>
      <w:r>
        <w:rPr>
          <w:rFonts w:ascii="仿宋" w:eastAsia="仿宋" w:hAnsi="仿宋" w:hint="eastAsia"/>
          <w:sz w:val="28"/>
          <w:szCs w:val="28"/>
        </w:rPr>
        <w:tab/>
        <w:t>平台服务与管理</w:t>
      </w:r>
    </w:p>
    <w:p w:rsidR="00853600" w:rsidRDefault="00853600" w:rsidP="00853600">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相关院校授权课程主讲人与学堂在线就以上相关内容签订协议，明确责任权利，维护双方权益。学堂在线对经中国医药教育协会认定的在线课程制作、发布、管理配备必要的人员进行服务。</w:t>
      </w:r>
    </w:p>
    <w:p w:rsidR="00853600" w:rsidRDefault="00853600" w:rsidP="00853600">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学堂在线保证在线课程在平台上正常运行。由于平台运行导致课程不能正常使用的问题，学堂在线需及时处理。造成相关纠纷，建议学堂在线与课程主讲人友好协商处理。</w:t>
      </w:r>
    </w:p>
    <w:p w:rsidR="00853600" w:rsidRDefault="00853600" w:rsidP="00853600">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学堂在线对发布的在线课程及教学过程需进行记录、评价、分析，并及时向课程主讲人反馈相关信息。</w:t>
      </w:r>
    </w:p>
    <w:p w:rsidR="00853600" w:rsidRDefault="00853600" w:rsidP="00853600">
      <w:pPr>
        <w:spacing w:line="360" w:lineRule="auto"/>
        <w:rPr>
          <w:rFonts w:ascii="仿宋" w:eastAsia="仿宋" w:hAnsi="仿宋" w:hint="eastAsia"/>
          <w:sz w:val="28"/>
          <w:szCs w:val="28"/>
        </w:rPr>
      </w:pPr>
      <w:r>
        <w:rPr>
          <w:rFonts w:ascii="仿宋" w:eastAsia="仿宋" w:hAnsi="仿宋" w:hint="eastAsia"/>
          <w:sz w:val="28"/>
          <w:szCs w:val="28"/>
        </w:rPr>
        <w:lastRenderedPageBreak/>
        <w:t>5.视频、习题、其它课件需符合学堂在线慕课技术标准。视频标准如下：</w:t>
      </w:r>
    </w:p>
    <w:tbl>
      <w:tblPr>
        <w:tblStyle w:val="a4"/>
        <w:tblW w:w="0" w:type="auto"/>
        <w:tblInd w:w="108" w:type="dxa"/>
        <w:tblLook w:val="01E0" w:firstRow="1" w:lastRow="1" w:firstColumn="1" w:lastColumn="1" w:noHBand="0" w:noVBand="0"/>
      </w:tblPr>
      <w:tblGrid>
        <w:gridCol w:w="634"/>
        <w:gridCol w:w="1866"/>
        <w:gridCol w:w="5688"/>
      </w:tblGrid>
      <w:tr w:rsidR="00853600" w:rsidTr="00853600">
        <w:tc>
          <w:tcPr>
            <w:tcW w:w="663" w:type="dxa"/>
            <w:tcBorders>
              <w:top w:val="single" w:sz="4" w:space="0" w:color="auto"/>
              <w:left w:val="single" w:sz="4" w:space="0" w:color="auto"/>
              <w:bottom w:val="single" w:sz="4" w:space="0" w:color="auto"/>
              <w:right w:val="single" w:sz="4" w:space="0" w:color="auto"/>
            </w:tcBorders>
            <w:shd w:val="clear" w:color="auto" w:fill="F3F3F3"/>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序号</w:t>
            </w:r>
          </w:p>
        </w:tc>
        <w:tc>
          <w:tcPr>
            <w:tcW w:w="1882" w:type="dxa"/>
            <w:tcBorders>
              <w:top w:val="single" w:sz="4" w:space="0" w:color="auto"/>
              <w:left w:val="single" w:sz="4" w:space="0" w:color="auto"/>
              <w:bottom w:val="single" w:sz="4" w:space="0" w:color="auto"/>
              <w:right w:val="single" w:sz="4" w:space="0" w:color="auto"/>
            </w:tcBorders>
            <w:shd w:val="clear" w:color="auto" w:fill="F3F3F3"/>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项目</w:t>
            </w:r>
          </w:p>
        </w:tc>
        <w:tc>
          <w:tcPr>
            <w:tcW w:w="6244" w:type="dxa"/>
            <w:tcBorders>
              <w:top w:val="single" w:sz="4" w:space="0" w:color="auto"/>
              <w:left w:val="single" w:sz="4" w:space="0" w:color="auto"/>
              <w:bottom w:val="single" w:sz="4" w:space="0" w:color="auto"/>
              <w:right w:val="single" w:sz="4" w:space="0" w:color="auto"/>
            </w:tcBorders>
            <w:shd w:val="clear" w:color="auto" w:fill="F3F3F3"/>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标准</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1</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视频编码方式</w:t>
            </w:r>
          </w:p>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（Codec）</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H.264 .mp4（视频压缩采用H.264编码方式，封装格式采用MP4）</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2</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视频分辨率</w:t>
            </w:r>
          </w:p>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（Resolution）</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rsidP="009B6D56">
            <w:pPr>
              <w:pStyle w:val="a3"/>
              <w:numPr>
                <w:ilvl w:val="0"/>
                <w:numId w:val="1"/>
              </w:numPr>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提交的存档用高清成片，分辨率不低于1920x1080像素</w:t>
            </w:r>
          </w:p>
          <w:p w:rsidR="00853600" w:rsidRDefault="00853600" w:rsidP="009B6D56">
            <w:pPr>
              <w:pStyle w:val="a3"/>
              <w:numPr>
                <w:ilvl w:val="0"/>
                <w:numId w:val="1"/>
              </w:numPr>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供学堂在线上传的单个视频文件大小不能超过1GB，如高清视频文件过大，可压缩成不低于1080*720像素的上传版本</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3</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视频帧率</w:t>
            </w:r>
          </w:p>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（Frame Rate）</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 xml:space="preserve">25 fps 或者 29.97 fps </w:t>
            </w:r>
          </w:p>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（fps:每秒帧数）</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4</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视频码率</w:t>
            </w:r>
          </w:p>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（Bit Rate）</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存档版本不低于8Mbps，网络发布版本不低于2Mbps</w:t>
            </w:r>
          </w:p>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（bps：每秒比特数）</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5</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图像效果</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rsidP="009B6D56">
            <w:pPr>
              <w:pStyle w:val="a3"/>
              <w:numPr>
                <w:ilvl w:val="0"/>
                <w:numId w:val="2"/>
              </w:numPr>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图像不过亮、过暗；</w:t>
            </w:r>
          </w:p>
          <w:p w:rsidR="00853600" w:rsidRDefault="00853600" w:rsidP="009B6D56">
            <w:pPr>
              <w:pStyle w:val="a3"/>
              <w:numPr>
                <w:ilvl w:val="0"/>
                <w:numId w:val="2"/>
              </w:numPr>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人、物移动时无拖影、耀光现象；</w:t>
            </w:r>
          </w:p>
          <w:p w:rsidR="00853600" w:rsidRDefault="00853600" w:rsidP="009B6D56">
            <w:pPr>
              <w:pStyle w:val="a3"/>
              <w:numPr>
                <w:ilvl w:val="0"/>
                <w:numId w:val="2"/>
              </w:numPr>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无其它图像质量问题</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6</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音频格式</w:t>
            </w:r>
          </w:p>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(Audio)</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线性高级音频编码格式，Linear AAC(Advanced Audio Coding)</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7</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音频采样率</w:t>
            </w:r>
          </w:p>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(Sample Rate)</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采样率不低于48kHz</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8</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音频码率</w:t>
            </w:r>
          </w:p>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(Bit Rate)</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不低于1.4Mbps</w:t>
            </w:r>
          </w:p>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（bps：每秒比特数）</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9</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音频信噪比</w:t>
            </w:r>
          </w:p>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(SNR)</w:t>
            </w:r>
          </w:p>
        </w:tc>
        <w:tc>
          <w:tcPr>
            <w:tcW w:w="6244" w:type="dxa"/>
            <w:tcBorders>
              <w:top w:val="single" w:sz="4" w:space="0" w:color="auto"/>
              <w:left w:val="single" w:sz="4" w:space="0" w:color="auto"/>
              <w:bottom w:val="single" w:sz="4" w:space="0" w:color="auto"/>
              <w:right w:val="single" w:sz="4" w:space="0" w:color="auto"/>
            </w:tcBorders>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大于50dB</w:t>
            </w:r>
          </w:p>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10</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声音效果</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（1）声音和画面同步</w:t>
            </w:r>
          </w:p>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lastRenderedPageBreak/>
              <w:t>（2）声音无明显失真、无明显噪音、回声或其它杂音，无音量忽大忽小现象</w:t>
            </w:r>
          </w:p>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（3）伴音清晰、饱满、圆润，解说声与现场声无明显比例失调，解说声与背景音乐无明显比例失调</w:t>
            </w:r>
          </w:p>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（4）无其它声音质量问题</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lastRenderedPageBreak/>
              <w:t>11</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剪辑</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rsidP="009B6D56">
            <w:pPr>
              <w:pStyle w:val="a3"/>
              <w:numPr>
                <w:ilvl w:val="0"/>
                <w:numId w:val="3"/>
              </w:numPr>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剪辑衔接自然</w:t>
            </w:r>
          </w:p>
          <w:p w:rsidR="00853600" w:rsidRDefault="00853600" w:rsidP="009B6D56">
            <w:pPr>
              <w:pStyle w:val="a3"/>
              <w:numPr>
                <w:ilvl w:val="0"/>
                <w:numId w:val="3"/>
              </w:numPr>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无空白帧</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12</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后期动画文字</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后期制作的动画、显示的文字（非字幕文件），不能出现错误，同一门课程中字体风格一致</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13</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字幕要求</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中文授课视频提供对应的中文字幕，英文授课视频提供相应的英文字幕</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14</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字幕文件格式</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字幕不能固定加在视频上，必须以单独的SRT文件格式提供</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15</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字幕编码</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中文字幕必须采用UTF-8编码</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16</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字幕时间轴</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时间轴准确，字幕出现时间与视频声音一致</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17</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字幕文字内容</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字幕文字错误不能超过1%</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18</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片头</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rsidP="009B6D56">
            <w:pPr>
              <w:pStyle w:val="a3"/>
              <w:numPr>
                <w:ilvl w:val="0"/>
                <w:numId w:val="4"/>
              </w:numPr>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片头长度不超过20秒</w:t>
            </w:r>
          </w:p>
          <w:p w:rsidR="00853600" w:rsidRDefault="00853600" w:rsidP="009B6D56">
            <w:pPr>
              <w:pStyle w:val="a3"/>
              <w:numPr>
                <w:ilvl w:val="0"/>
                <w:numId w:val="4"/>
              </w:numPr>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片头应使用体现课程所属院校、机构特色的素材</w:t>
            </w:r>
          </w:p>
          <w:p w:rsidR="00853600" w:rsidRDefault="00853600" w:rsidP="009B6D56">
            <w:pPr>
              <w:pStyle w:val="a3"/>
              <w:numPr>
                <w:ilvl w:val="0"/>
                <w:numId w:val="4"/>
              </w:numPr>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片头中应出现明显、不失真的课程所属院校、机构的字样和标志</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19</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视频Logo</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视频的相应位置应加上课程所属院校、机构统一设计Logo标志，表示应明显、且不影响正常视频内容</w:t>
            </w:r>
          </w:p>
        </w:tc>
      </w:tr>
      <w:tr w:rsidR="00853600" w:rsidTr="00853600">
        <w:tc>
          <w:tcPr>
            <w:tcW w:w="663"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center"/>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20</w:t>
            </w:r>
          </w:p>
        </w:tc>
        <w:tc>
          <w:tcPr>
            <w:tcW w:w="1882"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视频长度</w:t>
            </w:r>
          </w:p>
        </w:tc>
        <w:tc>
          <w:tcPr>
            <w:tcW w:w="6244" w:type="dxa"/>
            <w:tcBorders>
              <w:top w:val="single" w:sz="4" w:space="0" w:color="auto"/>
              <w:left w:val="single" w:sz="4" w:space="0" w:color="auto"/>
              <w:bottom w:val="single" w:sz="4" w:space="0" w:color="auto"/>
              <w:right w:val="single" w:sz="4" w:space="0" w:color="auto"/>
            </w:tcBorders>
            <w:hideMark/>
          </w:tcPr>
          <w:p w:rsidR="00853600" w:rsidRDefault="00853600">
            <w:pPr>
              <w:pStyle w:val="a3"/>
              <w:spacing w:before="0" w:beforeAutospacing="0" w:after="0" w:afterAutospacing="0" w:line="360" w:lineRule="auto"/>
              <w:jc w:val="both"/>
              <w:rPr>
                <w:rFonts w:ascii="仿宋" w:eastAsia="仿宋" w:hAnsi="仿宋" w:cs="Times New Roman" w:hint="eastAsia"/>
                <w:kern w:val="2"/>
                <w:sz w:val="22"/>
                <w:szCs w:val="22"/>
                <w:lang w:bidi="ar-SA"/>
              </w:rPr>
            </w:pPr>
            <w:r>
              <w:rPr>
                <w:rFonts w:ascii="仿宋" w:eastAsia="仿宋" w:hAnsi="仿宋" w:cs="Times New Roman" w:hint="eastAsia"/>
                <w:kern w:val="2"/>
                <w:sz w:val="22"/>
                <w:szCs w:val="22"/>
                <w:lang w:bidi="ar-SA"/>
              </w:rPr>
              <w:t>在6-18分钟之内</w:t>
            </w:r>
          </w:p>
        </w:tc>
      </w:tr>
    </w:tbl>
    <w:p w:rsidR="00853600" w:rsidRDefault="00853600" w:rsidP="00853600">
      <w:pPr>
        <w:tabs>
          <w:tab w:val="left" w:pos="3766"/>
        </w:tabs>
        <w:spacing w:line="360" w:lineRule="auto"/>
        <w:jc w:val="left"/>
        <w:rPr>
          <w:rFonts w:ascii="仿宋" w:eastAsia="仿宋" w:hAnsi="仿宋" w:hint="eastAsia"/>
          <w:sz w:val="28"/>
          <w:szCs w:val="28"/>
        </w:rPr>
      </w:pPr>
    </w:p>
    <w:p w:rsidR="00153C1A" w:rsidRDefault="00153C1A">
      <w:bookmarkStart w:id="0" w:name="_GoBack"/>
      <w:bookmarkEnd w:id="0"/>
    </w:p>
    <w:sectPr w:rsidR="00153C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064C"/>
    <w:multiLevelType w:val="hybridMultilevel"/>
    <w:tmpl w:val="AB323970"/>
    <w:lvl w:ilvl="0" w:tplc="061A9432">
      <w:start w:val="1"/>
      <w:numFmt w:val="decimal"/>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15:restartNumberingAfterBreak="0">
    <w:nsid w:val="4DF5055D"/>
    <w:multiLevelType w:val="hybridMultilevel"/>
    <w:tmpl w:val="9272BB0C"/>
    <w:lvl w:ilvl="0" w:tplc="994C7AC6">
      <w:start w:val="1"/>
      <w:numFmt w:val="decimal"/>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15:restartNumberingAfterBreak="0">
    <w:nsid w:val="71BC0206"/>
    <w:multiLevelType w:val="hybridMultilevel"/>
    <w:tmpl w:val="BB789234"/>
    <w:lvl w:ilvl="0" w:tplc="77E40406">
      <w:start w:val="1"/>
      <w:numFmt w:val="decimal"/>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15:restartNumberingAfterBreak="0">
    <w:nsid w:val="77833ED7"/>
    <w:multiLevelType w:val="hybridMultilevel"/>
    <w:tmpl w:val="EC60DCAA"/>
    <w:lvl w:ilvl="0" w:tplc="A4C46B18">
      <w:start w:val="1"/>
      <w:numFmt w:val="decimal"/>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44"/>
    <w:rsid w:val="00153C1A"/>
    <w:rsid w:val="00853600"/>
    <w:rsid w:val="00C52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8A657-D067-43EC-A976-F27D7FD9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5360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53600"/>
    <w:pPr>
      <w:widowControl/>
      <w:spacing w:before="100" w:beforeAutospacing="1" w:after="100" w:afterAutospacing="1"/>
      <w:jc w:val="left"/>
    </w:pPr>
    <w:rPr>
      <w:rFonts w:ascii="宋体" w:hAnsi="宋体" w:cs="宋体"/>
      <w:kern w:val="0"/>
      <w:sz w:val="24"/>
      <w:szCs w:val="24"/>
      <w:lang w:bidi="th-TH"/>
    </w:rPr>
  </w:style>
  <w:style w:type="table" w:styleId="a4">
    <w:name w:val="Table Grid"/>
    <w:basedOn w:val="a1"/>
    <w:qFormat/>
    <w:rsid w:val="00853600"/>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刘聪慧</dc:creator>
  <cp:keywords/>
  <dc:description/>
  <cp:lastModifiedBy>刘聪慧</cp:lastModifiedBy>
  <cp:revision>2</cp:revision>
  <dcterms:created xsi:type="dcterms:W3CDTF">2016-11-09T06:13:00Z</dcterms:created>
  <dcterms:modified xsi:type="dcterms:W3CDTF">2016-11-09T06:13:00Z</dcterms:modified>
</cp:coreProperties>
</file>