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ind w:left="-359" w:leftChars="-171" w:firstLine="484" w:firstLineChars="101"/>
        <w:jc w:val="center"/>
        <w:rPr>
          <w:rFonts w:hint="eastAsia" w:ascii="黑体" w:hAnsi="黑体" w:eastAsia="黑体"/>
          <w:bCs/>
          <w:spacing w:val="-20"/>
          <w:sz w:val="52"/>
          <w:szCs w:val="52"/>
        </w:rPr>
      </w:pPr>
    </w:p>
    <w:p>
      <w:pPr>
        <w:ind w:left="-359" w:leftChars="-171" w:firstLine="484" w:firstLineChars="101"/>
        <w:jc w:val="center"/>
        <w:rPr>
          <w:rFonts w:ascii="黑体" w:hAnsi="黑体" w:eastAsia="黑体"/>
          <w:bCs/>
          <w:spacing w:val="-20"/>
          <w:sz w:val="52"/>
          <w:szCs w:val="52"/>
        </w:rPr>
      </w:pPr>
      <w:bookmarkStart w:id="1" w:name="_GoBack"/>
      <w:r>
        <w:rPr>
          <w:rFonts w:hint="eastAsia" w:ascii="黑体" w:hAnsi="黑体" w:eastAsia="黑体"/>
          <w:bCs/>
          <w:spacing w:val="-20"/>
          <w:sz w:val="52"/>
          <w:szCs w:val="52"/>
        </w:rPr>
        <w:t>石河子大学一流本科专业建设</w:t>
      </w:r>
    </w:p>
    <w:p>
      <w:pPr>
        <w:ind w:left="-359" w:leftChars="-171" w:firstLine="484" w:firstLineChars="101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pacing w:val="-20"/>
          <w:sz w:val="52"/>
          <w:szCs w:val="52"/>
        </w:rPr>
        <w:t>项目</w:t>
      </w:r>
      <w:r>
        <w:rPr>
          <w:rFonts w:hint="eastAsia" w:ascii="黑体" w:hAnsi="黑体" w:eastAsia="黑体"/>
          <w:bCs/>
          <w:sz w:val="52"/>
          <w:szCs w:val="52"/>
        </w:rPr>
        <w:t>申报书</w:t>
      </w:r>
    </w:p>
    <w:bookmarkEnd w:id="1"/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hint="eastAsia" w:ascii="Times New Roman" w:hAnsi="Times New Roman"/>
          <w:sz w:val="32"/>
          <w:szCs w:val="32"/>
        </w:rPr>
      </w:pPr>
    </w:p>
    <w:p>
      <w:pPr>
        <w:rPr>
          <w:rFonts w:hint="eastAsia" w:ascii="Times New Roman" w:hAnsi="Times New Roman"/>
          <w:sz w:val="32"/>
          <w:szCs w:val="32"/>
        </w:rPr>
      </w:pPr>
    </w:p>
    <w:p>
      <w:pPr>
        <w:rPr>
          <w:rFonts w:hint="eastAsia" w:ascii="Times New Roman" w:hAnsi="Times New Roman"/>
          <w:sz w:val="32"/>
          <w:szCs w:val="32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36"/>
        <w:gridCol w:w="4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noWrap w:val="0"/>
            <w:vAlign w:val="top"/>
          </w:tcPr>
          <w:p>
            <w:pPr>
              <w:snapToGrid w:val="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Arial" w:hAnsi="Arial" w:eastAsia="楷体_GB2312"/>
                <w:sz w:val="36"/>
                <w:szCs w:val="24"/>
              </w:rPr>
              <w:t>学院名称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45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noWrap w:val="0"/>
            <w:vAlign w:val="top"/>
          </w:tcPr>
          <w:p>
            <w:pPr>
              <w:snapToGrid w:val="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Arial" w:hAnsi="Arial" w:eastAsia="楷体_GB2312"/>
                <w:sz w:val="36"/>
                <w:szCs w:val="24"/>
              </w:rPr>
              <w:t>专业名称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4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noWrap w:val="0"/>
            <w:vAlign w:val="top"/>
          </w:tcPr>
          <w:p>
            <w:pPr>
              <w:snapToGrid w:val="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Arial" w:hAnsi="Arial" w:eastAsia="楷体_GB2312"/>
                <w:sz w:val="36"/>
                <w:szCs w:val="24"/>
              </w:rPr>
              <w:t>专业代码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4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noWrap w:val="0"/>
            <w:vAlign w:val="top"/>
          </w:tcPr>
          <w:p>
            <w:pPr>
              <w:snapToGrid w:val="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Arial" w:hAnsi="Arial" w:eastAsia="楷体_GB2312"/>
                <w:spacing w:val="14"/>
                <w:sz w:val="36"/>
                <w:szCs w:val="24"/>
              </w:rPr>
              <w:t>专业类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4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noWrap w:val="0"/>
            <w:vAlign w:val="top"/>
          </w:tcPr>
          <w:p>
            <w:pPr>
              <w:snapToGrid w:val="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Arial" w:hAnsi="Arial" w:eastAsia="楷体_GB2312"/>
                <w:sz w:val="36"/>
                <w:szCs w:val="24"/>
              </w:rPr>
              <w:t>专业负责人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4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noWrap w:val="0"/>
            <w:vAlign w:val="top"/>
          </w:tcPr>
          <w:p>
            <w:pPr>
              <w:snapToGrid w:val="0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Arial" w:hAnsi="Arial" w:eastAsia="楷体_GB2312"/>
                <w:sz w:val="36"/>
                <w:szCs w:val="24"/>
              </w:rPr>
              <w:t>联系电话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4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spacing w:line="720" w:lineRule="exact"/>
        <w:ind w:firstLine="1760" w:firstLineChars="400"/>
        <w:rPr>
          <w:rFonts w:hint="eastAsia" w:ascii="Arial" w:hAnsi="Arial" w:eastAsia="楷体_GB2312"/>
          <w:sz w:val="44"/>
          <w:szCs w:val="24"/>
        </w:rPr>
      </w:pPr>
    </w:p>
    <w:p>
      <w:pPr>
        <w:spacing w:line="720" w:lineRule="exact"/>
        <w:ind w:firstLine="1760" w:firstLineChars="400"/>
        <w:rPr>
          <w:rFonts w:hint="eastAsia" w:ascii="Arial" w:hAnsi="Arial" w:eastAsia="楷体_GB2312"/>
          <w:sz w:val="44"/>
          <w:szCs w:val="24"/>
        </w:rPr>
      </w:pPr>
    </w:p>
    <w:p>
      <w:pPr>
        <w:spacing w:line="720" w:lineRule="exact"/>
        <w:ind w:firstLine="1760" w:firstLineChars="400"/>
        <w:rPr>
          <w:rFonts w:hint="eastAsia" w:ascii="Arial" w:hAnsi="Arial" w:eastAsia="楷体_GB2312"/>
          <w:sz w:val="44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  <w:r>
        <w:rPr>
          <w:rFonts w:hint="eastAsia" w:ascii="Arial" w:hAnsi="Arial" w:eastAsia="楷体_GB2312"/>
          <w:sz w:val="36"/>
          <w:szCs w:val="24"/>
        </w:rPr>
        <w:t>教务处制</w:t>
      </w:r>
    </w:p>
    <w:p>
      <w:pPr>
        <w:jc w:val="center"/>
        <w:rPr>
          <w:rFonts w:ascii="黑体" w:hAnsi="Arial" w:eastAsia="黑体"/>
          <w:bCs/>
          <w:spacing w:val="100"/>
          <w:sz w:val="36"/>
          <w:szCs w:val="36"/>
        </w:rPr>
      </w:pPr>
      <w:r>
        <w:rPr>
          <w:rFonts w:ascii="Arial" w:hAnsi="Arial" w:eastAsia="楷体_GB2312"/>
          <w:sz w:val="36"/>
          <w:szCs w:val="24"/>
        </w:rPr>
        <w:br w:type="page"/>
      </w:r>
      <w:r>
        <w:rPr>
          <w:rFonts w:hint="eastAsia" w:ascii="黑体" w:hAnsi="Arial" w:eastAsia="黑体"/>
          <w:bCs/>
          <w:spacing w:val="100"/>
          <w:sz w:val="36"/>
          <w:szCs w:val="36"/>
        </w:rPr>
        <w:t>填表说明</w:t>
      </w:r>
    </w:p>
    <w:p>
      <w:pPr>
        <w:jc w:val="center"/>
        <w:rPr>
          <w:rFonts w:ascii="仿宋_GB2312" w:hAnsi="Arial" w:eastAsia="仿宋_GB2312"/>
          <w:spacing w:val="1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申报书填写内容必须实事求是，表达准确严谨。填报内容不得有空缺项，如无内容应填“无”。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报送单位要求加盖公章后，于报送截止日前送至教务处教学研究办公室。</w:t>
      </w:r>
    </w:p>
    <w:p>
      <w:pPr>
        <w:ind w:firstLine="640" w:firstLineChars="200"/>
        <w:jc w:val="center"/>
        <w:rPr>
          <w:rFonts w:ascii="黑体" w:hAnsi="Arial" w:eastAsia="黑体"/>
          <w:bCs/>
          <w:spacing w:val="100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Arial" w:eastAsia="黑体"/>
          <w:bCs/>
          <w:spacing w:val="100"/>
          <w:sz w:val="36"/>
          <w:szCs w:val="36"/>
        </w:rPr>
        <w:t>目录</w:t>
      </w:r>
    </w:p>
    <w:p>
      <w:pPr>
        <w:spacing w:line="240" w:lineRule="exact"/>
        <w:rPr>
          <w:rFonts w:ascii="仿宋_GB2312" w:hAnsi="Times New Roman" w:eastAsia="仿宋_GB2312"/>
          <w:sz w:val="32"/>
          <w:szCs w:val="24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1．专业基本情况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pacing w:val="2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>．专业负责人基本情况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近3年本专业毕业生就业（升学）情况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近3年本专业获省部级及以上奖励和支持情况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专业定位、历史沿革和特色优势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深化专业综合改革的主要措施和成效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7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bCs/>
          <w:spacing w:val="-4"/>
          <w:kern w:val="0"/>
          <w:sz w:val="32"/>
          <w:szCs w:val="32"/>
        </w:rPr>
        <w:t>加强师资队伍和基层教学组织建设的主要举措及成效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8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加强专业教学质量保障体系建设的主要举措和成效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9．毕业生培养质量的跟踪调查结果和外部评价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10．下一步推进专业建设和改革的主要思路及举措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11．学院评审意见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12．学校审核意见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_GB2312" w:hAnsi="黑体" w:eastAsia="仿宋_GB2312"/>
          <w:bCs/>
          <w:sz w:val="36"/>
          <w:szCs w:val="36"/>
        </w:rPr>
        <w:br w:type="page"/>
      </w:r>
      <w:r>
        <w:rPr>
          <w:rFonts w:hint="eastAsia" w:ascii="楷体" w:hAnsi="楷体" w:eastAsia="楷体"/>
          <w:b/>
          <w:sz w:val="32"/>
          <w:szCs w:val="32"/>
        </w:rPr>
        <w:t>1.专业基本情况</w:t>
      </w:r>
    </w:p>
    <w:tbl>
      <w:tblPr>
        <w:tblStyle w:val="3"/>
        <w:tblW w:w="5254" w:type="pct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196"/>
        <w:gridCol w:w="2148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专业名称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专业代码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修业年限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学位授予门类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设立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所在院系名称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专业总学分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专业总学时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0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实践教学环节学分占总学分比例</w:t>
            </w:r>
          </w:p>
        </w:tc>
        <w:tc>
          <w:tcPr>
            <w:tcW w:w="2439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0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本专业教授给本科生上课的比例</w:t>
            </w:r>
          </w:p>
        </w:tc>
        <w:tc>
          <w:tcPr>
            <w:tcW w:w="2439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</w:t>
      </w:r>
      <w:r>
        <w:rPr>
          <w:rFonts w:hint="eastAsia" w:ascii="仿宋" w:hAnsi="仿宋" w:eastAsia="仿宋"/>
          <w:sz w:val="24"/>
          <w:szCs w:val="24"/>
        </w:rPr>
        <w:t>：以上数据填报口径为2</w:t>
      </w:r>
      <w:r>
        <w:rPr>
          <w:rFonts w:ascii="仿宋" w:hAnsi="仿宋" w:eastAsia="仿宋"/>
          <w:sz w:val="24"/>
          <w:szCs w:val="24"/>
        </w:rPr>
        <w:t>018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2019学年数据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2.专业负责人基本情况</w:t>
      </w:r>
    </w:p>
    <w:tbl>
      <w:tblPr>
        <w:tblStyle w:val="3"/>
        <w:tblW w:w="522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610"/>
        <w:gridCol w:w="1323"/>
        <w:gridCol w:w="733"/>
        <w:gridCol w:w="1761"/>
        <w:gridCol w:w="733"/>
        <w:gridCol w:w="813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90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行政职务</w:t>
            </w:r>
          </w:p>
        </w:tc>
        <w:tc>
          <w:tcPr>
            <w:tcW w:w="41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317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研究方向和近三年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主讲的本科课程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-141" w:rightChars="-67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3.近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年本专业毕业生就业（升学）情况</w:t>
      </w:r>
    </w:p>
    <w:tbl>
      <w:tblPr>
        <w:tblStyle w:val="3"/>
        <w:tblW w:w="51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14"/>
        <w:gridCol w:w="1576"/>
        <w:gridCol w:w="1576"/>
        <w:gridCol w:w="1314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年份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境内升学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境外升学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就业人数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自主创业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7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2018年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7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2017年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7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4.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</w:t>
      </w:r>
      <w:r>
        <w:rPr>
          <w:rFonts w:hint="eastAsia" w:ascii="楷体" w:hAnsi="楷体" w:eastAsia="楷体"/>
          <w:b/>
          <w:sz w:val="32"/>
          <w:szCs w:val="32"/>
        </w:rPr>
        <w:t>获校级及以上奖励和支持情况</w:t>
      </w:r>
    </w:p>
    <w:tbl>
      <w:tblPr>
        <w:tblStyle w:val="3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832"/>
        <w:gridCol w:w="1215"/>
        <w:gridCol w:w="1736"/>
        <w:gridCol w:w="857"/>
        <w:gridCol w:w="78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类别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所获奖励或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支持名称</w:t>
            </w: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教学成果奖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教学名师与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教学团队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专业建设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课程与教材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实验和实践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教学平台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教学改革项目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（限5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项）</w:t>
            </w: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0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…</w:t>
            </w:r>
          </w:p>
        </w:tc>
        <w:tc>
          <w:tcPr>
            <w:tcW w:w="68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013"/>
        </w:tabs>
        <w:ind w:right="-197" w:rightChars="-94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注：1</w:t>
      </w:r>
      <w:r>
        <w:rPr>
          <w:rFonts w:ascii="Times New Roman" w:hAnsi="Times New Roman"/>
          <w:szCs w:val="24"/>
        </w:rPr>
        <w:t>.专业建设指本专业获得</w:t>
      </w:r>
      <w:r>
        <w:rPr>
          <w:rFonts w:hint="eastAsia" w:ascii="Times New Roman" w:hAnsi="Times New Roman"/>
          <w:szCs w:val="24"/>
        </w:rPr>
        <w:t>校级及以上各</w:t>
      </w:r>
      <w:r>
        <w:rPr>
          <w:rFonts w:ascii="Times New Roman" w:hAnsi="Times New Roman"/>
          <w:szCs w:val="24"/>
        </w:rPr>
        <w:t>级</w:t>
      </w:r>
      <w:r>
        <w:rPr>
          <w:rFonts w:hint="eastAsia" w:ascii="Times New Roman" w:hAnsi="Times New Roman"/>
          <w:szCs w:val="24"/>
        </w:rPr>
        <w:t>特色专业等建设项目支持情况。</w:t>
      </w:r>
    </w:p>
    <w:p>
      <w:pPr>
        <w:widowControl/>
        <w:tabs>
          <w:tab w:val="left" w:pos="1013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2.其他指本专业教师和学生获得的</w:t>
      </w:r>
      <w:r>
        <w:rPr>
          <w:rFonts w:hint="eastAsia" w:ascii="Times New Roman" w:hAnsi="Times New Roman"/>
          <w:szCs w:val="24"/>
        </w:rPr>
        <w:t>校级及</w:t>
      </w:r>
      <w:r>
        <w:rPr>
          <w:rFonts w:ascii="Times New Roman" w:hAnsi="Times New Roman"/>
          <w:szCs w:val="24"/>
        </w:rPr>
        <w:t>以上教育教学奖励和支持情况</w:t>
      </w:r>
      <w:r>
        <w:rPr>
          <w:rFonts w:hint="eastAsia" w:ascii="Times New Roman" w:hAnsi="Times New Roman"/>
          <w:szCs w:val="24"/>
        </w:rPr>
        <w:t>。</w:t>
      </w:r>
    </w:p>
    <w:p>
      <w:pPr>
        <w:widowControl/>
        <w:jc w:val="left"/>
        <w:rPr>
          <w:rFonts w:hint="eastAsia" w:ascii="楷体" w:hAnsi="楷体" w:eastAsia="楷体" w:cs="宋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5</w:t>
      </w:r>
      <w:r>
        <w:rPr>
          <w:rFonts w:ascii="楷体" w:hAnsi="楷体" w:eastAsia="楷体" w:cs="宋体"/>
          <w:b/>
          <w:kern w:val="0"/>
          <w:sz w:val="32"/>
          <w:szCs w:val="32"/>
        </w:rPr>
        <w:t>.专业定位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、</w:t>
      </w:r>
      <w:r>
        <w:rPr>
          <w:rFonts w:ascii="楷体" w:hAnsi="楷体" w:eastAsia="楷体" w:cs="宋体"/>
          <w:b/>
          <w:kern w:val="0"/>
          <w:sz w:val="32"/>
          <w:szCs w:val="32"/>
        </w:rPr>
        <w:t>历史沿革和特色优势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6</w:t>
      </w:r>
      <w:r>
        <w:rPr>
          <w:rFonts w:ascii="楷体" w:hAnsi="楷体" w:eastAsia="楷体" w:cs="宋体"/>
          <w:b/>
          <w:kern w:val="0"/>
          <w:sz w:val="32"/>
          <w:szCs w:val="32"/>
        </w:rPr>
        <w:t>.深化专业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综合</w:t>
      </w:r>
      <w:r>
        <w:rPr>
          <w:rFonts w:ascii="楷体" w:hAnsi="楷体" w:eastAsia="楷体" w:cs="宋体"/>
          <w:b/>
          <w:kern w:val="0"/>
          <w:sz w:val="32"/>
          <w:szCs w:val="32"/>
        </w:rPr>
        <w:t>改革的主要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举措和成效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1000字以内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7</w:t>
      </w:r>
      <w:r>
        <w:rPr>
          <w:rFonts w:ascii="楷体" w:hAnsi="楷体" w:eastAsia="楷体" w:cs="宋体"/>
          <w:b/>
          <w:kern w:val="0"/>
          <w:sz w:val="32"/>
          <w:szCs w:val="32"/>
        </w:rPr>
        <w:t>.加强师资队伍和基层教学组织建设的主要举措及成效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8.加强专业教学质量保障体系建设的主要举措和成效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9570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9</w:t>
      </w:r>
      <w:r>
        <w:rPr>
          <w:rFonts w:ascii="楷体" w:hAnsi="楷体" w:eastAsia="楷体" w:cs="宋体"/>
          <w:b/>
          <w:kern w:val="0"/>
          <w:sz w:val="32"/>
          <w:szCs w:val="32"/>
        </w:rPr>
        <w:t>.毕业生培养质量的跟踪调查结果和外部评价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570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10.</w:t>
      </w:r>
      <w:r>
        <w:rPr>
          <w:rFonts w:ascii="楷体" w:hAnsi="楷体" w:eastAsia="楷体" w:cs="宋体"/>
          <w:b/>
          <w:kern w:val="0"/>
          <w:sz w:val="32"/>
          <w:szCs w:val="32"/>
        </w:rPr>
        <w:t>下一步推进专业建设和改革的主要思路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及</w:t>
      </w:r>
      <w:r>
        <w:rPr>
          <w:rFonts w:ascii="楷体" w:hAnsi="楷体" w:eastAsia="楷体" w:cs="宋体"/>
          <w:b/>
          <w:kern w:val="0"/>
          <w:sz w:val="32"/>
          <w:szCs w:val="32"/>
        </w:rPr>
        <w:t>举措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bookmarkStart w:id="0" w:name="_Hlk2001382"/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800字以内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</w:p>
        </w:tc>
      </w:tr>
      <w:bookmarkEnd w:id="0"/>
    </w:tbl>
    <w:p>
      <w:pPr>
        <w:spacing w:line="20" w:lineRule="exact"/>
        <w:rPr>
          <w:rFonts w:ascii="仿宋_GB2312" w:eastAsia="仿宋_GB2312" w:cs="经典平黑简"/>
          <w:sz w:val="10"/>
          <w:szCs w:val="10"/>
        </w:rPr>
      </w:pPr>
    </w:p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11.学院评审意见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ind w:firstLine="4080" w:firstLineChars="170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学院公章：               </w:t>
            </w:r>
          </w:p>
          <w:p>
            <w:pPr>
              <w:spacing w:after="120" w:afterLines="50" w:line="420" w:lineRule="exact"/>
              <w:ind w:firstLine="5160" w:firstLineChars="215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年   月    日             </w:t>
            </w: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12.学校审核意见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420" w:lineRule="exact"/>
              <w:ind w:firstLine="4080" w:firstLineChars="170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公章：               </w:t>
            </w:r>
          </w:p>
          <w:p>
            <w:pPr>
              <w:spacing w:after="120" w:afterLines="50" w:line="420" w:lineRule="exact"/>
              <w:ind w:firstLine="5160" w:firstLineChars="215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年   月    日             </w:t>
            </w:r>
          </w:p>
        </w:tc>
      </w:tr>
    </w:tbl>
    <w:p>
      <w:pPr>
        <w:widowControl/>
        <w:jc w:val="left"/>
        <w:rPr>
          <w:rFonts w:hint="eastAsia" w:ascii="楷体" w:hAnsi="楷体" w:eastAsia="楷体" w:cs="宋体"/>
          <w:b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hint="eastAsia"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hint="eastAsia" w:ascii="Times New Roman" w:hAnsi="Times New Roman"/>
        <w:sz w:val="24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54"/>
    <w:rsid w:val="009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2020-08-18T04:25:00Z</dcterms:created>
  <dc:creator>穿山乙</dc:creator>
  <cp:lastModifiedBy>穿山乙</cp:lastModifiedBy>
  <dcterms:modified xsi:type="dcterms:W3CDTF">2020-08-18T04:38:11Z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