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附件2：</w:t>
      </w:r>
      <w:r>
        <w:rPr>
          <w:rFonts w:hint="eastAsia" w:ascii="宋体" w:hAnsi="宋体"/>
          <w:b/>
          <w:sz w:val="28"/>
          <w:szCs w:val="28"/>
        </w:rPr>
        <w:t xml:space="preserve">                             </w:t>
      </w:r>
      <w:bookmarkStart w:id="0" w:name="_GoBack"/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石河子大学</w:t>
      </w:r>
      <w:r>
        <w:rPr>
          <w:rFonts w:hint="eastAsia" w:ascii="宋体" w:hAnsi="宋体"/>
          <w:b/>
          <w:sz w:val="28"/>
          <w:szCs w:val="28"/>
        </w:rPr>
        <w:t>多媒体课件大赛评分标准</w:t>
      </w:r>
      <w:bookmarkEnd w:id="0"/>
    </w:p>
    <w:tbl>
      <w:tblPr>
        <w:tblStyle w:val="5"/>
        <w:tblW w:w="1543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2068"/>
        <w:gridCol w:w="2614"/>
        <w:gridCol w:w="2466"/>
        <w:gridCol w:w="828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一级指标(分值)</w:t>
            </w:r>
          </w:p>
        </w:tc>
        <w:tc>
          <w:tcPr>
            <w:tcW w:w="261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二级指标（分值）</w:t>
            </w:r>
          </w:p>
        </w:tc>
        <w:tc>
          <w:tcPr>
            <w:tcW w:w="2466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三级指标（分值）</w:t>
            </w:r>
          </w:p>
        </w:tc>
        <w:tc>
          <w:tcPr>
            <w:tcW w:w="8282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66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282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教学内容（20)</w:t>
            </w:r>
          </w:p>
        </w:tc>
        <w:tc>
          <w:tcPr>
            <w:tcW w:w="2614" w:type="dxa"/>
            <w:vMerge w:val="restart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科学性规范性（10）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ind w:right="-92" w:rightChars="-4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科学性（5）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教学内容正确，具有时效性、前瞻性；无科学错误、政治性错误；无错误导向</w:t>
            </w:r>
            <w:r>
              <w:rPr>
                <w:rFonts w:hint="eastAsia" w:ascii="宋体" w:hAnsi="宋体"/>
                <w:b/>
                <w:szCs w:val="21"/>
              </w:rPr>
              <w:t>（注：出现严重科学错误取消参赛资格）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66" w:type="dxa"/>
            <w:vAlign w:val="center"/>
          </w:tcPr>
          <w:p>
            <w:pPr>
              <w:widowControl/>
              <w:ind w:right="-92" w:rightChars="-4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规范性（5）</w:t>
            </w:r>
          </w:p>
        </w:tc>
        <w:tc>
          <w:tcPr>
            <w:tcW w:w="8282" w:type="dxa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文字、符号、单位和公式符合国家标准，符合出版规范，无侵犯著作权行为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restart"/>
            <w:vAlign w:val="top"/>
          </w:tcPr>
          <w:p>
            <w:pPr>
              <w:snapToGrid w:val="0"/>
              <w:spacing w:beforeLines="50"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知识体系（10）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知识覆盖（5）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在课件标定范围内知识内容范围完整，知识体系结构合理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逻辑结构（5）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逻辑结构清晰，层次性强，具有内聚性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教学设计(40)</w:t>
            </w:r>
          </w:p>
        </w:tc>
        <w:tc>
          <w:tcPr>
            <w:tcW w:w="2614" w:type="dxa"/>
            <w:vMerge w:val="restart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教学理念及设计（20）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ind w:right="-65" w:rightChars="-3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教育理念（10）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充分发挥教师主导、学生主体的作用，注重培养学生解决问题、创新和批判能力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目标设计（5）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教学目标清晰、定位准确、表述规范，适应于相应认知水平的学生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内容设计（5）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ind w:right="-118" w:rightChars="-5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重点难点突出，启发引导性强，符合认知规律，有利于激发学生主动学习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restart"/>
            <w:vAlign w:val="center"/>
          </w:tcPr>
          <w:p>
            <w:pPr>
              <w:snapToGrid w:val="0"/>
              <w:spacing w:line="260" w:lineRule="exact"/>
              <w:ind w:right="-164" w:rightChars="-7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教学策略与评价（20）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教学交互（5）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较好的人机交互，有教师和学生、学生和学生的交互、讨论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活动设计（5）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根据学习内容设计研究性或探究性实践问题，培养学生创新精神与实践能力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资源形式与引用（5）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有和教学内容配合的各种资料、学习辅助材料或资源链接，引用的资源形式新颖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学习评价（5）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有对习题的评判或学生自主学习效果的评价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技术性(25)</w:t>
            </w:r>
          </w:p>
        </w:tc>
        <w:tc>
          <w:tcPr>
            <w:tcW w:w="2614" w:type="dxa"/>
            <w:vMerge w:val="restart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运行状况（10）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运行环境</w:t>
            </w:r>
            <w:r>
              <w:rPr>
                <w:rFonts w:hint="eastAsia" w:ascii="宋体" w:hAnsi="宋体"/>
                <w:szCs w:val="21"/>
              </w:rPr>
              <w:t>（5）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运行可靠，没有“死机”现象，没有导航、链接错误，容错性好，尽可能兼容各种运行平台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操作情况（5）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操作方便、灵活，交互性强，启动时间、链接转换时间短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restart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设计效果（15）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软件使用（5）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</w:rPr>
              <w:t>采用了和教学内容及设计相适应的软件，或自行设计了适合于课件制作的软件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设计水平（5）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</w:rPr>
              <w:t>设计工作量大，</w:t>
            </w:r>
            <w:r>
              <w:rPr>
                <w:rFonts w:hint="eastAsia" w:ascii="宋体" w:hAnsi="宋体"/>
                <w:color w:val="000000"/>
                <w:szCs w:val="21"/>
              </w:rPr>
              <w:t>软件应用有较高的技术水准，用户环境友好，使用可靠、安全，素材资源符合相关技术规范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媒体应用（5）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ind w:right="-107" w:rightChars="-5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合理使用多媒体技术，技术表现符合多媒体认知的基本原理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艺术性(15)</w:t>
            </w:r>
          </w:p>
        </w:tc>
        <w:tc>
          <w:tcPr>
            <w:tcW w:w="2614" w:type="dxa"/>
            <w:vMerge w:val="restart"/>
            <w:vAlign w:val="center"/>
          </w:tcPr>
          <w:p>
            <w:pPr>
              <w:snapToGrid w:val="0"/>
              <w:spacing w:line="260" w:lineRule="exact"/>
              <w:ind w:right="-107" w:rightChars="-51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界面设计（7）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ind w:right="-107" w:rightChars="-5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界面效果（3）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ind w:right="-107" w:rightChars="-5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界面布局合理、新颖、活泼、有创意，整体风格统一，导航清晰简捷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snapToGrid w:val="0"/>
              <w:spacing w:line="260" w:lineRule="exact"/>
              <w:ind w:right="-107" w:rightChars="-51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ind w:right="-107" w:rightChars="-5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美工效果（4）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ind w:right="-107" w:rightChars="-5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色彩搭配协调，视觉效果好，符合视觉心理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restart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媒体效果（8）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ind w:right="-65" w:rightChars="-3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媒体选择（4）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文字、图片、音、视频、动画切合教学主题，和谐协调，配合适当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60" w:lineRule="exact"/>
              <w:ind w:right="-65" w:rightChars="-3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媒体设计（4）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各种媒体制作精细，吸引力强，激发学习兴趣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加分</w:t>
            </w:r>
            <w:r>
              <w:rPr>
                <w:rFonts w:hint="eastAsia" w:ascii="宋体" w:hAnsi="宋体"/>
                <w:b/>
                <w:bCs/>
                <w:szCs w:val="21"/>
              </w:rPr>
              <w:t>(2)</w:t>
            </w:r>
          </w:p>
        </w:tc>
        <w:tc>
          <w:tcPr>
            <w:tcW w:w="5080" w:type="dxa"/>
            <w:gridSpan w:val="2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应用效果（1）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已经得到广泛应用，取得了良好的应用效果，有较大推广价值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068" w:type="dxa"/>
            <w:vMerge w:val="continue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80" w:type="dxa"/>
            <w:gridSpan w:val="2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现场答辩（1）</w:t>
            </w:r>
          </w:p>
        </w:tc>
        <w:tc>
          <w:tcPr>
            <w:tcW w:w="8282" w:type="dxa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表述清晰、语言规范、材料充实、重点突出；快速准确回答问题，熟练演示课件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石河子大学</w:t>
      </w:r>
      <w:r>
        <w:rPr>
          <w:rFonts w:hint="eastAsia" w:ascii="宋体" w:hAnsi="宋体"/>
          <w:b/>
          <w:sz w:val="28"/>
          <w:szCs w:val="28"/>
        </w:rPr>
        <w:t>多媒体课件大赛（微课组）评分标准</w:t>
      </w:r>
    </w:p>
    <w:tbl>
      <w:tblPr>
        <w:tblStyle w:val="5"/>
        <w:tblW w:w="15427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2977"/>
        <w:gridCol w:w="1045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一级指标(分值)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二级指标（分值）</w:t>
            </w:r>
          </w:p>
        </w:tc>
        <w:tc>
          <w:tcPr>
            <w:tcW w:w="104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50" w:type="dxa"/>
            <w:vMerge w:val="continue"/>
            <w:vAlign w:val="center"/>
          </w:tcPr>
          <w:p>
            <w:pPr>
              <w:ind w:firstLine="2108" w:firstLineChars="100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00" w:type="dxa"/>
            <w:vMerge w:val="restart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作品规范（10）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材料完整（4）</w:t>
            </w:r>
          </w:p>
        </w:tc>
        <w:tc>
          <w:tcPr>
            <w:tcW w:w="1045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材料包含微课视频、教学设计方案、微课录制中使用的辅助扩展资料、课件、习题等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技术规范（6）</w:t>
            </w:r>
          </w:p>
        </w:tc>
        <w:tc>
          <w:tcPr>
            <w:tcW w:w="1045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视频长度8-10分钟；视频图像清晰稳定、声音清楚，构图合理；主要教学环节配有字幕；文字、符号、单位和公式符合国家标准；方便学习者选择停止和继续播放等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00" w:type="dxa"/>
            <w:vMerge w:val="restart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教学设计（30）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选题（4）</w:t>
            </w:r>
          </w:p>
        </w:tc>
        <w:tc>
          <w:tcPr>
            <w:tcW w:w="1045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所选主题紧紧围绕一个主要知识点或主要教学问题，适合以微课的形式展现；有助于学生事先学习或理解、巩固或扩展所学课程内容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教学目标（4）</w:t>
            </w:r>
          </w:p>
        </w:tc>
        <w:tc>
          <w:tcPr>
            <w:tcW w:w="104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教学目标正确、明确、具体，教学思路清晰；能够解决教学内容中的难点、重点、个性化教学等问题，提高教学效率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教学内容（7）</w:t>
            </w:r>
          </w:p>
        </w:tc>
        <w:tc>
          <w:tcPr>
            <w:tcW w:w="104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教学内容适当、准确，无科学性、政策性错误，能理论联系实际，反映社会和学科发展，能确保教学目标的实现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学习者（5）</w:t>
            </w:r>
          </w:p>
        </w:tc>
        <w:tc>
          <w:tcPr>
            <w:tcW w:w="1045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微课教学目标和教学内容适合学习者的年龄和认知发展水平；根据学习者个性差异有相应处理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ind w:left="420" w:hanging="420" w:hanging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教学策略（10）</w:t>
            </w:r>
          </w:p>
        </w:tc>
        <w:tc>
          <w:tcPr>
            <w:tcW w:w="1045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教学顺序、教学活动安排、媒体的选择等适合确定的教学目标、教学内容和学习者特征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00" w:type="dxa"/>
            <w:vMerge w:val="restart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教学实施（25）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教学呈现（15）</w:t>
            </w:r>
          </w:p>
        </w:tc>
        <w:tc>
          <w:tcPr>
            <w:tcW w:w="1045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教学导入简短顺畅，促进学生回忆先前知识经验；新内容的呈现能激发学生学习的动机；教学具有启发性，指导性，有助于学生建构或巩固知识，形成能力，建立态度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教学语言、节奏或教态（10）</w:t>
            </w:r>
          </w:p>
        </w:tc>
        <w:tc>
          <w:tcPr>
            <w:tcW w:w="1045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如有声音，普通话讲解，语言清晰生动，表达能力强；</w:t>
            </w:r>
            <w:r>
              <w:rPr>
                <w:rFonts w:hint="eastAsia" w:ascii="宋体" w:hAnsi="宋体" w:cs="宋体"/>
                <w:kern w:val="0"/>
                <w:szCs w:val="21"/>
              </w:rPr>
              <w:t>如有教师出现，仪表得当，教态亲切自然大方，展现良好教学风貌；</w:t>
            </w:r>
            <w:r>
              <w:rPr>
                <w:rFonts w:hint="eastAsia" w:ascii="宋体" w:hAnsi="宋体"/>
                <w:szCs w:val="21"/>
              </w:rPr>
              <w:t>教学节奏适合学生的学习，具有较强感染力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00" w:type="dxa"/>
            <w:vMerge w:val="restart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技术实现（30）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操作与传播展示（15）</w:t>
            </w:r>
          </w:p>
        </w:tc>
        <w:tc>
          <w:tcPr>
            <w:tcW w:w="1045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便于教学演示操作，能够通过网络便捷传播，具有较强的通用性，易于被学习者在各种技术环境下观看（兼容PC、手机和平板电脑等）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教学视频制作（15）</w:t>
            </w:r>
          </w:p>
        </w:tc>
        <w:tc>
          <w:tcPr>
            <w:tcW w:w="1045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选用的制作软件适当，编辑制作准确，符合通常教学和学习环境的使用；视频播放格式兼容性好，主要采用高清、标清标准；文件量适度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教学效果（5）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应用推广</w:t>
            </w:r>
            <w:r>
              <w:rPr>
                <w:rFonts w:hint="eastAsia" w:ascii="宋体" w:hAnsi="宋体" w:cs="宋体"/>
                <w:kern w:val="0"/>
                <w:szCs w:val="21"/>
              </w:rPr>
              <w:t>（5）</w:t>
            </w:r>
          </w:p>
        </w:tc>
        <w:tc>
          <w:tcPr>
            <w:tcW w:w="104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有良好应用效果，受到学习者的普遍欢迎，具有在相关专业或学科上推广的价值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加分（5）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学员网评（5）</w:t>
            </w:r>
          </w:p>
        </w:tc>
        <w:tc>
          <w:tcPr>
            <w:tcW w:w="1045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作品点击率高、投票较多、学习者评价好；作者与学习者互动良好</w:t>
            </w:r>
          </w:p>
        </w:tc>
      </w:tr>
    </w:tbl>
    <w:p/>
    <w:sectPr>
      <w:pgSz w:w="16838" w:h="11906" w:orient="landscape"/>
      <w:pgMar w:top="720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630B0"/>
    <w:rsid w:val="00033140"/>
    <w:rsid w:val="003630B0"/>
    <w:rsid w:val="00527532"/>
    <w:rsid w:val="005B0CB5"/>
    <w:rsid w:val="00A61B94"/>
    <w:rsid w:val="00EE0888"/>
    <w:rsid w:val="00F07838"/>
    <w:rsid w:val="00F31960"/>
    <w:rsid w:val="00F32609"/>
    <w:rsid w:val="2D37794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afterAutospacing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307</Words>
  <Characters>1750</Characters>
  <Lines>14</Lines>
  <Paragraphs>4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2015-03-27T07:06:00Z</dcterms:created>
  <dc:creator>微软用户</dc:creator>
  <cp:lastModifiedBy>LLB</cp:lastModifiedBy>
  <dcterms:modified xsi:type="dcterms:W3CDTF">2015-05-07T10:27:40Z</dcterms:modified>
  <dc:title>附件2：                              石河子大学多媒体课件大赛评分标准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